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898"/>
      </w:tblGrid>
      <w:tr>
        <w:trPr>
          <w:trHeight w:hRule="exact" w:val="470"/>
        </w:trPr>
        <w:tc>
          <w:tcPr>
            <w:tcW w:type="dxa" w:w="986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6f2f9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16" w:after="0"/>
        <w:ind w:left="0" w:right="3062" w:firstLine="0"/>
        <w:jc w:val="right"/>
      </w:pPr>
      <w:r>
        <w:rPr>
          <w:rFonts w:ascii="Calibri" w:hAnsi="Calibri" w:eastAsia="Calibri"/>
          <w:b/>
          <w:i w:val="0"/>
        </w:rPr>
        <w:t xml:space="preserve">SÉMINAIRE CONTINENTAL DE L’ABCA </w:t>
      </w:r>
    </w:p>
    <w:p>
      <w:pPr>
        <w:sectPr>
          <w:pgSz w:w="11906" w:h="16838"/>
          <w:pgMar w:top="1440" w:right="710" w:bottom="672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</w:rPr>
        <w:t xml:space="preserve">Monsieur le Secrétaire Exécutif de l'ABCA, </w:t>
      </w:r>
    </w:p>
    <w:p>
      <w:pPr>
        <w:sectPr>
          <w:pgSz w:w="11906" w:h="16838"/>
          <w:pgMar w:top="966" w:right="754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2" w:firstLine="0"/>
        <w:jc w:val="both"/>
      </w:pPr>
      <w:r>
        <w:rPr>
          <w:rFonts w:ascii="Arial" w:hAnsi="Arial" w:eastAsia="Arial"/>
          <w:b w:val="0"/>
          <w:i w:val="0"/>
        </w:rPr>
        <w:t xml:space="preserve">Aujourd’hui, l’apport des technologies financières est unanimement reconnu </w:t>
      </w:r>
    </w:p>
    <w:p>
      <w:pPr>
        <w:sectPr>
          <w:pgSz w:w="11906" w:h="16838"/>
          <w:pgMar w:top="1276" w:right="934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06" w:firstLine="0"/>
        <w:jc w:val="both"/>
      </w:pPr>
      <w:r>
        <w:rPr>
          <w:rFonts w:ascii="Arial" w:hAnsi="Arial" w:eastAsia="Arial"/>
          <w:b w:val="0"/>
          <w:i w:val="0"/>
        </w:rPr>
        <w:t>De plus et comme le souligne un autre rapport</w:t>
      </w:r>
    </w:p>
    <w:p>
      <w:pPr>
        <w:sectPr>
          <w:pgSz w:w="11906" w:h="16838"/>
          <w:pgMar w:top="994" w:right="748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06" w:firstLine="0"/>
        <w:jc w:val="both"/>
      </w:pPr>
      <w:r>
        <w:rPr>
          <w:rFonts w:ascii="Arial" w:hAnsi="Arial" w:eastAsia="Arial"/>
          <w:b w:val="0"/>
          <w:i w:val="0"/>
        </w:rPr>
        <w:t xml:space="preserve">La Monnaie Digitale de la Banque Centrale (MDBC) qui, en tant que monnaie </w:t>
      </w:r>
    </w:p>
    <w:p>
      <w:pPr>
        <w:sectPr>
          <w:pgSz w:w="11906" w:h="16838"/>
          <w:pgMar w:top="1276" w:right="748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6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En parallèle, nous avons mis en œuvre, en collaboration avec nos partenaires, </w:t>
      </w:r>
    </w:p>
    <w:p>
      <w:pPr>
        <w:sectPr>
          <w:pgSz w:w="11906" w:h="16838"/>
          <w:pgMar w:top="1006" w:right="748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Aussi, nous devons nous mobiliser pour renforcer les travaux de l’ABCA </w:t>
      </w:r>
    </w:p>
    <w:p>
      <w:pPr>
        <w:sectPr>
          <w:pgSz w:w="11906" w:h="16838"/>
          <w:pgMar w:top="1300" w:right="748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22" w:firstLine="0"/>
        <w:jc w:val="both"/>
      </w:pPr>
      <w:r>
        <w:rPr>
          <w:rFonts w:ascii="Arial" w:hAnsi="Arial" w:eastAsia="Arial"/>
          <w:b w:val="0"/>
          <w:i w:val="0"/>
        </w:rPr>
        <w:t xml:space="preserve">Ce séminaire représente une occasion unique de partager nos expériences, </w:t>
      </w:r>
    </w:p>
    <w:sectPr w:rsidR="00FC693F" w:rsidRPr="0006063C" w:rsidSect="00034616">
      <w:pgSz w:w="11906" w:h="16838"/>
      <w:pgMar w:top="1300" w:right="748" w:bottom="67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