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33550" cy="110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030" w:after="3540"/>
        <w:ind w:left="0" w:right="0" w:firstLine="0"/>
        <w:jc w:val="center"/>
      </w:pPr>
      <w:r>
        <w:rPr>
          <w:rFonts w:ascii="BookmanOldStyle" w:hAnsi="BookmanOldStyle" w:eastAsia="BookmanOldStyle"/>
          <w:b/>
          <w:i w:val="0"/>
        </w:rPr>
        <w:t>3</w:t>
      </w:r>
    </w:p>
    <w:p>
      <w:pPr>
        <w:sectPr>
          <w:pgSz w:w="11900" w:h="16840"/>
          <w:pgMar w:top="664" w:right="1274" w:bottom="1440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BookmanOldStyle" w:hAnsi="BookmanOldStyle" w:eastAsia="BookmanOldStyle"/>
          <w:b w:val="0"/>
          <w:i w:val="0"/>
        </w:rPr>
        <w:t xml:space="preserve">Monsieur le Chef du Gouvernement, </w:t>
      </w:r>
    </w:p>
    <w:p>
      <w:pPr>
        <w:sectPr>
          <w:pgSz w:w="11900" w:h="16840"/>
          <w:pgMar w:top="780" w:right="1018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336" w:lineRule="auto" w:before="0" w:after="0"/>
        <w:ind w:left="0" w:right="24" w:firstLine="0"/>
        <w:jc w:val="both"/>
      </w:pPr>
      <w:r>
        <w:rPr>
          <w:rFonts w:ascii="BookmanOldStyle" w:hAnsi="BookmanOldStyle" w:eastAsia="BookmanOldStyle"/>
          <w:b w:val="0"/>
          <w:i w:val="0"/>
        </w:rPr>
        <w:t xml:space="preserve">La région compte plus de 90 millions d’habitants –dont 30% âgés de </w:t>
      </w:r>
    </w:p>
    <w:p>
      <w:pPr>
        <w:sectPr>
          <w:pgSz w:w="11900" w:h="16840"/>
          <w:pgMar w:top="720" w:right="1016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4" w:firstLine="0"/>
        <w:jc w:val="both"/>
      </w:pPr>
      <w:r>
        <w:rPr>
          <w:rFonts w:ascii="BookmanOldStyle" w:hAnsi="BookmanOldStyle" w:eastAsia="BookmanOldStyle"/>
          <w:b w:val="0"/>
          <w:i w:val="0"/>
        </w:rPr>
        <w:t xml:space="preserve">Pour ce qui est de la </w:t>
      </w:r>
    </w:p>
    <w:p>
      <w:pPr>
        <w:sectPr>
          <w:pgSz w:w="11900" w:h="16840"/>
          <w:pgMar w:top="900" w:right="1014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2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4" w:firstLine="0"/>
        <w:jc w:val="both"/>
      </w:pPr>
      <w:r>
        <w:rPr>
          <w:rFonts w:ascii="BookmanOldStyle" w:hAnsi="BookmanOldStyle" w:eastAsia="BookmanOldStyle"/>
          <w:b w:val="0"/>
          <w:i w:val="0"/>
        </w:rPr>
        <w:t xml:space="preserve">Le </w:t>
      </w:r>
    </w:p>
    <w:p>
      <w:pPr>
        <w:sectPr>
          <w:pgSz w:w="11900" w:h="16840"/>
          <w:pgMar w:top="900" w:right="1014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98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BookmanOldStyle" w:hAnsi="BookmanOldStyle" w:eastAsia="BookmanOldStyle"/>
          <w:b w:val="0"/>
          <w:i w:val="0"/>
        </w:rPr>
        <w:t xml:space="preserve">Ainsi, la première réunion s’est tenue à </w:t>
      </w:r>
    </w:p>
    <w:p>
      <w:pPr>
        <w:sectPr>
          <w:pgSz w:w="11900" w:h="16840"/>
          <w:pgMar w:top="1318" w:right="1018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9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BookmanOldStyle" w:hAnsi="BookmanOldStyle" w:eastAsia="BookmanOldStyle"/>
          <w:b w:val="0"/>
          <w:i w:val="0"/>
        </w:rPr>
        <w:t xml:space="preserve">Aujourd’hui, 25 ans après la création de l’UMA, le bilan est clairement </w:t>
      </w:r>
    </w:p>
    <w:p>
      <w:pPr>
        <w:sectPr>
          <w:pgSz w:w="11900" w:h="16840"/>
          <w:pgMar w:top="1318" w:right="1016" w:bottom="264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98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0" w:firstLine="0"/>
        <w:jc w:val="both"/>
      </w:pPr>
      <w:r>
        <w:rPr>
          <w:rFonts w:ascii="BookmanOldStyle" w:hAnsi="BookmanOldStyle" w:eastAsia="BookmanOldStyle"/>
          <w:b w:val="0"/>
          <w:i w:val="0"/>
        </w:rPr>
        <w:t xml:space="preserve">Pour notre part, nous, Banquiers centraux, continueront d’œuvrer </w:t>
      </w:r>
    </w:p>
    <w:sectPr w:rsidR="00FC693F" w:rsidRPr="0006063C" w:rsidSect="00034616">
      <w:pgSz w:w="11900" w:h="16840"/>
      <w:pgMar w:top="1318" w:right="1016" w:bottom="264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