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746249" cy="11696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49" cy="116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918" w:after="0"/>
        <w:ind w:left="0" w:right="0" w:firstLine="0"/>
        <w:jc w:val="center"/>
      </w:pPr>
      <w:r>
        <w:rPr>
          <w:rFonts w:ascii="BookmanOldStyle" w:hAnsi="BookmanOldStyle" w:eastAsia="BookmanOldStyle"/>
          <w:b/>
          <w:i w:val="0"/>
        </w:rPr>
        <w:t xml:space="preserve">Symposium Régional de Haut Niveau sur la Stabilité Financière </w:t>
      </w:r>
    </w:p>
    <w:p>
      <w:pPr>
        <w:sectPr>
          <w:pgSz w:w="11906" w:h="16838"/>
          <w:pgMar w:top="890" w:right="1280" w:bottom="1134" w:left="13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Monsieur le Gouverneur de la Banque de Maurice et Président de l’Association des </w:t>
      </w:r>
    </w:p>
    <w:p>
      <w:pPr>
        <w:sectPr>
          <w:pgSz w:w="11906" w:h="16838"/>
          <w:pgMar w:top="690" w:right="1332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22" w:firstLine="0"/>
        <w:jc w:val="both"/>
      </w:pPr>
      <w:r>
        <w:rPr>
          <w:rFonts w:ascii="Garamond" w:hAnsi="Garamond" w:eastAsia="Garamond"/>
          <w:b w:val="0"/>
          <w:i w:val="0"/>
        </w:rPr>
        <w:t xml:space="preserve">Outre la pandémie et ses séquelles, nous avons assisté à une série de chocs liés à la </w:t>
      </w:r>
    </w:p>
    <w:p>
      <w:pPr>
        <w:sectPr>
          <w:pgSz w:w="11906" w:h="16838"/>
          <w:pgMar w:top="692" w:right="1330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Par ailleurs, au regard du rythme de la révolution digitale et de l’essor que connait </w:t>
      </w:r>
    </w:p>
    <w:p>
      <w:pPr>
        <w:sectPr>
          <w:pgSz w:w="11906" w:h="16838"/>
          <w:pgMar w:top="692" w:right="1332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Outre la gestion des risques, la mobilisation des ressources financières nécessaires pour la </w:t>
      </w:r>
    </w:p>
    <w:p>
      <w:pPr>
        <w:sectPr>
          <w:pgSz w:w="11906" w:h="16838"/>
          <w:pgMar w:top="692" w:right="1332" w:bottom="26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76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Nous considérons qu'il s'agit d'une entreprise de longue haleine qui doit prendre en compte </w:t>
      </w:r>
    </w:p>
    <w:sectPr w:rsidR="00FC693F" w:rsidRPr="0006063C" w:rsidSect="00034616">
      <w:pgSz w:w="11906" w:h="16838"/>
      <w:pgMar w:top="692" w:right="1332" w:bottom="26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