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4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796" w:after="0"/>
        <w:ind w:left="1866" w:right="0" w:firstLine="0"/>
        <w:jc w:val="left"/>
      </w:pPr>
      <w:r>
        <w:rPr>
          <w:rFonts w:ascii="Bookman Old Style" w:hAnsi="Bookman Old Style" w:eastAsia="Bookman Old Style"/>
          <w:b/>
          <w:i w:val="0"/>
        </w:rPr>
        <w:t xml:space="preserve">Conférence Internationale de Rabat </w:t>
      </w:r>
    </w:p>
    <w:p>
      <w:pPr>
        <w:sectPr>
          <w:pgSz w:w="11906" w:h="16838"/>
          <w:pgMar w:top="888" w:right="1278" w:bottom="760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Chef du Gouvernement,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Dans ces conditions, le renforcement de la coopération aussi bien au niveau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Elle transforme de manière progressive mais profonde les processus de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Concevoir des règlementations discriminatoires pour favoriser leur </w:t>
      </w:r>
    </w:p>
    <w:sectPr w:rsidR="00FC693F" w:rsidRPr="0006063C" w:rsidSect="00034616">
      <w:pgSz w:w="11906" w:h="16838"/>
      <w:pgMar w:top="708" w:right="1320" w:bottom="49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