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668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1676400" cy="10960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0960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38" w:lineRule="auto" w:before="1892" w:after="0"/>
        <w:ind w:left="0" w:right="2614" w:firstLine="0"/>
        <w:jc w:val="right"/>
      </w:pPr>
      <w:r>
        <w:rPr>
          <w:rFonts w:ascii="Bookman Old Style" w:hAnsi="Bookman Old Style" w:eastAsia="Bookman Old Style"/>
          <w:b/>
          <w:i w:val="0"/>
        </w:rPr>
        <w:t xml:space="preserve">Symposium du CDS sur </w:t>
      </w:r>
    </w:p>
    <w:p>
      <w:pPr>
        <w:sectPr>
          <w:pgSz w:w="11906" w:h="16838"/>
          <w:pgMar w:top="888" w:right="1278" w:bottom="1368" w:left="130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439" w:lineRule="auto" w:before="0" w:after="0"/>
        <w:ind w:left="0" w:right="3312" w:firstLine="0"/>
        <w:jc w:val="left"/>
      </w:pPr>
      <w:r>
        <w:rPr>
          <w:rFonts w:ascii="Garamond" w:hAnsi="Garamond" w:eastAsia="Garamond"/>
          <w:b/>
          <w:i w:val="0"/>
        </w:rPr>
        <w:t xml:space="preserve">Monsieur le président du CDS et cher ami, </w:t>
      </w:r>
    </w:p>
    <w:p>
      <w:pPr>
        <w:sectPr>
          <w:pgSz w:w="11906" w:h="16838"/>
          <w:pgMar w:top="708" w:right="1320" w:bottom="262" w:left="14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rPr>
          <w:rFonts w:ascii="Garamond" w:hAnsi="Garamond" w:eastAsia="Garamond"/>
          <w:b/>
          <w:i w:val="0"/>
        </w:rPr>
        <w:t xml:space="preserve">Mesdames et Messieurs, </w:t>
      </w:r>
    </w:p>
    <w:p>
      <w:pPr>
        <w:sectPr>
          <w:pgSz w:w="11906" w:h="16838"/>
          <w:pgMar w:top="708" w:right="1320" w:bottom="262" w:left="14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456" w:lineRule="auto" w:before="0" w:after="0"/>
        <w:ind w:left="0" w:right="20" w:firstLine="0"/>
        <w:jc w:val="both"/>
      </w:pPr>
      <w:r>
        <w:rPr>
          <w:rFonts w:ascii="Garamond" w:hAnsi="Garamond" w:eastAsia="Garamond"/>
          <w:b w:val="0"/>
          <w:i w:val="0"/>
        </w:rPr>
        <w:t xml:space="preserve">L’ensemble de ces développements constitue des manifestations et des facteurs </w:t>
      </w:r>
    </w:p>
    <w:p>
      <w:pPr>
        <w:sectPr>
          <w:pgSz w:w="11906" w:h="16838"/>
          <w:pgMar w:top="708" w:right="1320" w:bottom="262" w:left="14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401" w:lineRule="auto" w:before="0" w:after="0"/>
        <w:ind w:left="0" w:right="22" w:firstLine="0"/>
        <w:jc w:val="both"/>
      </w:pPr>
      <w:r>
        <w:rPr>
          <w:rFonts w:ascii="Garamond" w:hAnsi="Garamond" w:eastAsia="Garamond"/>
          <w:b w:val="0"/>
          <w:i w:val="0"/>
        </w:rPr>
        <w:t xml:space="preserve">A cela s’ajoutent les séquelles des crises successives dont notamment </w:t>
      </w:r>
    </w:p>
    <w:p>
      <w:pPr>
        <w:sectPr>
          <w:pgSz w:w="11906" w:h="16838"/>
          <w:pgMar w:top="708" w:right="1320" w:bottom="262" w:left="14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432" w:lineRule="auto" w:before="0" w:after="0"/>
        <w:ind w:left="0" w:right="22" w:firstLine="0"/>
        <w:jc w:val="both"/>
      </w:pPr>
      <w:r>
        <w:rPr>
          <w:rFonts w:ascii="Garamond" w:hAnsi="Garamond" w:eastAsia="Garamond"/>
          <w:b w:val="0"/>
          <w:i w:val="0"/>
        </w:rPr>
        <w:t xml:space="preserve">Il est donc impératif de s’interroger sur ce décalage, une problématique que </w:t>
      </w:r>
    </w:p>
    <w:p>
      <w:pPr>
        <w:sectPr>
          <w:pgSz w:w="11906" w:h="16838"/>
          <w:pgMar w:top="708" w:right="1320" w:bottom="262" w:left="14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451" w:lineRule="auto" w:before="0" w:after="0"/>
        <w:ind w:left="0" w:right="20" w:firstLine="0"/>
        <w:jc w:val="both"/>
      </w:pPr>
      <w:r>
        <w:rPr>
          <w:rFonts w:ascii="Garamond" w:hAnsi="Garamond" w:eastAsia="Garamond"/>
          <w:b w:val="0"/>
          <w:i w:val="0"/>
        </w:rPr>
        <w:t xml:space="preserve">Ce qui empêche le taux de chômage d’augmenter sensiblement, c’est qu’une </w:t>
      </w:r>
    </w:p>
    <w:p>
      <w:pPr>
        <w:sectPr>
          <w:pgSz w:w="11906" w:h="16838"/>
          <w:pgMar w:top="708" w:right="1320" w:bottom="262" w:left="14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362" w:lineRule="auto" w:before="0" w:after="0"/>
        <w:ind w:left="0" w:right="0" w:firstLine="0"/>
        <w:jc w:val="left"/>
      </w:pPr>
      <w:r>
        <w:rPr>
          <w:rFonts w:ascii="Garamond" w:hAnsi="Garamond" w:eastAsia="Garamond"/>
          <w:b w:val="0"/>
          <w:i w:val="0"/>
        </w:rPr>
        <w:t xml:space="preserve">contenu en emploi de plus en plus faible et dont les retombées ne profitent pas </w:t>
      </w:r>
    </w:p>
    <w:p>
      <w:pPr>
        <w:sectPr>
          <w:pgSz w:w="11906" w:h="16838"/>
          <w:pgMar w:top="708" w:right="1320" w:bottom="262" w:left="14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432" w:lineRule="auto" w:before="0" w:after="0"/>
        <w:ind w:left="0" w:right="20" w:firstLine="0"/>
        <w:jc w:val="both"/>
      </w:pPr>
      <w:r>
        <w:rPr>
          <w:rFonts w:ascii="Garamond" w:hAnsi="Garamond" w:eastAsia="Garamond"/>
          <w:b w:val="0"/>
          <w:i w:val="0"/>
        </w:rPr>
        <w:t xml:space="preserve">Un autre fait stylisé est que l’investissement est tiré par un effort important de </w:t>
      </w:r>
    </w:p>
    <w:p>
      <w:pPr>
        <w:sectPr>
          <w:pgSz w:w="11906" w:h="16838"/>
          <w:pgMar w:top="708" w:right="1320" w:bottom="262" w:left="14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442" w:lineRule="auto" w:before="0" w:after="0"/>
        <w:ind w:left="0" w:right="20" w:firstLine="0"/>
        <w:jc w:val="both"/>
      </w:pPr>
      <w:r>
        <w:rPr>
          <w:rFonts w:ascii="Garamond" w:hAnsi="Garamond" w:eastAsia="Garamond"/>
          <w:b w:val="0"/>
          <w:i w:val="0"/>
        </w:rPr>
        <w:t xml:space="preserve">Le deuxième obstacle le plus cité est lié à la pression et à la lourdeur fiscales. </w:t>
      </w:r>
    </w:p>
    <w:p>
      <w:pPr>
        <w:sectPr>
          <w:pgSz w:w="11906" w:h="16838"/>
          <w:pgMar w:top="708" w:right="1320" w:bottom="262" w:left="14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432" w:lineRule="auto" w:before="0" w:after="0"/>
        <w:ind w:left="0" w:right="20" w:firstLine="0"/>
        <w:jc w:val="both"/>
      </w:pPr>
      <w:r>
        <w:rPr>
          <w:rFonts w:ascii="Garamond" w:hAnsi="Garamond" w:eastAsia="Garamond"/>
          <w:b w:val="0"/>
          <w:i w:val="0"/>
        </w:rPr>
        <w:t xml:space="preserve">Les délais de paiement constituent un autre obstacle pour les entreprises, </w:t>
      </w:r>
    </w:p>
    <w:p>
      <w:pPr>
        <w:sectPr>
          <w:pgSz w:w="11906" w:h="16838"/>
          <w:pgMar w:top="708" w:right="1320" w:bottom="262" w:left="14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401" w:lineRule="auto" w:before="0" w:after="0"/>
        <w:ind w:left="0" w:right="20" w:firstLine="0"/>
        <w:jc w:val="both"/>
      </w:pPr>
      <w:r>
        <w:rPr>
          <w:rFonts w:ascii="Garamond" w:hAnsi="Garamond" w:eastAsia="Garamond"/>
          <w:b w:val="0"/>
          <w:i w:val="0"/>
        </w:rPr>
        <w:t xml:space="preserve">Dans l’édition 2019 de cette enquête, seules 4% des entreprises évoquent ce </w:t>
      </w:r>
    </w:p>
    <w:p>
      <w:pPr>
        <w:sectPr>
          <w:pgSz w:w="11906" w:h="16838"/>
          <w:pgMar w:top="708" w:right="1320" w:bottom="262" w:left="14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461" w:lineRule="auto" w:before="0" w:after="0"/>
        <w:ind w:left="0" w:right="20" w:firstLine="0"/>
        <w:jc w:val="both"/>
      </w:pPr>
      <w:r>
        <w:rPr>
          <w:rFonts w:ascii="Garamond" w:hAnsi="Garamond" w:eastAsia="Garamond"/>
          <w:b w:val="0"/>
          <w:i w:val="0"/>
        </w:rPr>
        <w:t xml:space="preserve">Au niveau de Bank Al-Maghrib, nous avons fait de l’amélioration de l’accès au </w:t>
      </w:r>
    </w:p>
    <w:p>
      <w:pPr>
        <w:sectPr>
          <w:pgSz w:w="11906" w:h="16838"/>
          <w:pgMar w:top="708" w:right="1320" w:bottom="262" w:left="14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442" w:lineRule="auto" w:before="0" w:after="0"/>
        <w:ind w:left="0" w:right="24" w:firstLine="0"/>
        <w:jc w:val="both"/>
      </w:pPr>
      <w:r>
        <w:rPr>
          <w:rFonts w:ascii="Garamond" w:hAnsi="Garamond" w:eastAsia="Garamond"/>
          <w:b w:val="0"/>
          <w:i w:val="0"/>
        </w:rPr>
        <w:t xml:space="preserve">Ces derniers mois, au regard de l’accélération de l’inflation, la Banque a </w:t>
      </w:r>
    </w:p>
    <w:p>
      <w:pPr>
        <w:sectPr>
          <w:pgSz w:w="11906" w:h="16838"/>
          <w:pgMar w:top="708" w:right="1320" w:bottom="262" w:left="14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451" w:lineRule="auto" w:before="0" w:after="0"/>
        <w:ind w:left="0" w:right="20" w:firstLine="0"/>
        <w:jc w:val="both"/>
      </w:pPr>
      <w:r>
        <w:rPr>
          <w:rFonts w:ascii="Garamond" w:hAnsi="Garamond" w:eastAsia="Garamond"/>
          <w:b w:val="0"/>
          <w:i w:val="0"/>
        </w:rPr>
        <w:t xml:space="preserve">A travers toutes ces actions, nous essayons de pousser vers un changement de </w:t>
      </w:r>
    </w:p>
    <w:p>
      <w:pPr>
        <w:sectPr>
          <w:pgSz w:w="11906" w:h="16838"/>
          <w:pgMar w:top="708" w:right="1320" w:bottom="262" w:left="14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442" w:lineRule="auto" w:before="0" w:after="0"/>
        <w:ind w:left="0" w:right="20" w:firstLine="0"/>
        <w:jc w:val="both"/>
      </w:pPr>
      <w:r>
        <w:rPr>
          <w:rFonts w:ascii="Garamond" w:hAnsi="Garamond" w:eastAsia="Garamond"/>
          <w:b w:val="0"/>
          <w:i w:val="0"/>
        </w:rPr>
        <w:t xml:space="preserve">Nous avons ainsi pris l’initiative d’organiser une première réunion tripartite </w:t>
      </w:r>
    </w:p>
    <w:p>
      <w:pPr>
        <w:sectPr>
          <w:pgSz w:w="11906" w:h="16838"/>
          <w:pgMar w:top="708" w:right="1320" w:bottom="262" w:left="14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rPr>
          <w:rFonts w:ascii="Garamond" w:hAnsi="Garamond" w:eastAsia="Garamond"/>
          <w:b/>
          <w:i w:val="0"/>
        </w:rPr>
        <w:t xml:space="preserve">Mesdames et Messieurs, </w:t>
      </w:r>
    </w:p>
    <w:p>
      <w:pPr>
        <w:sectPr>
          <w:pgSz w:w="11906" w:h="16838"/>
          <w:pgMar w:top="708" w:right="1320" w:bottom="262" w:left="14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432" w:lineRule="auto" w:before="0" w:after="0"/>
        <w:ind w:left="0" w:right="22" w:firstLine="0"/>
        <w:jc w:val="both"/>
      </w:pPr>
      <w:r>
        <w:rPr>
          <w:rFonts w:ascii="Garamond" w:hAnsi="Garamond" w:eastAsia="Garamond"/>
          <w:b w:val="0"/>
          <w:i w:val="0"/>
        </w:rPr>
        <w:t xml:space="preserve">Sur ce même registre, la charte de la déconcentration administrative, censée </w:t>
      </w:r>
    </w:p>
    <w:p>
      <w:pPr>
        <w:sectPr>
          <w:pgSz w:w="11906" w:h="16838"/>
          <w:pgMar w:top="708" w:right="1320" w:bottom="262" w:left="14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442" w:lineRule="auto" w:before="0" w:after="0"/>
        <w:ind w:left="0" w:right="22" w:firstLine="0"/>
        <w:jc w:val="both"/>
      </w:pPr>
      <w:r>
        <w:rPr>
          <w:rFonts w:ascii="Garamond" w:hAnsi="Garamond" w:eastAsia="Garamond"/>
          <w:b w:val="0"/>
          <w:i w:val="0"/>
        </w:rPr>
        <w:t xml:space="preserve">Cette orientation n’est pas propre au Maroc. Le dernier rapport de la Banque </w:t>
      </w:r>
    </w:p>
    <w:p>
      <w:pPr>
        <w:sectPr>
          <w:pgSz w:w="11906" w:h="16838"/>
          <w:pgMar w:top="708" w:right="1320" w:bottom="262" w:left="14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362" w:lineRule="auto" w:before="0" w:after="0"/>
        <w:ind w:left="0" w:right="0" w:firstLine="0"/>
        <w:jc w:val="left"/>
      </w:pPr>
      <w:r>
        <w:rPr>
          <w:rFonts w:ascii="Garamond" w:hAnsi="Garamond" w:eastAsia="Garamond"/>
          <w:b w:val="0"/>
          <w:i w:val="0"/>
        </w:rPr>
        <w:t xml:space="preserve">internationaux, ses infrastructures de qualité, son système bancaire solide et </w:t>
      </w:r>
    </w:p>
    <w:sectPr w:rsidR="00FC693F" w:rsidRPr="0006063C" w:rsidSect="00034616">
      <w:pgSz w:w="11906" w:h="16838"/>
      <w:pgMar w:top="708" w:right="1320" w:bottom="262" w:left="1416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