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676400" cy="1096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96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928" w:after="0"/>
        <w:ind w:left="274" w:right="0" w:firstLine="0"/>
        <w:jc w:val="left"/>
      </w:pPr>
      <w:r>
        <w:rPr>
          <w:rFonts w:ascii="Bookman Old Style" w:hAnsi="Bookman Old Style" w:eastAsia="Bookman Old Style"/>
          <w:b w:val="0"/>
          <w:i w:val="0"/>
        </w:rPr>
        <w:t xml:space="preserve">Troisième Conférence Annuelle du Réseau Régional de Recherche des </w:t>
      </w:r>
    </w:p>
    <w:p>
      <w:pPr>
        <w:sectPr>
          <w:pgSz w:w="11906" w:h="16838"/>
          <w:pgMar w:top="888" w:right="1278" w:bottom="1440" w:left="13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Monsieur le Ministre, </w:t>
      </w:r>
    </w:p>
    <w:p>
      <w:pPr>
        <w:sectPr>
          <w:pgSz w:w="11906" w:h="16838"/>
          <w:pgMar w:top="708" w:right="1322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00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d’inclusion et de cohésion sociale. Il est au centre des préoccupations de la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Mesdames et Messieurs,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46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Les développements autour de la courbe de Phillips dont la première version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d’œuvre. La montée du protectionnisme et du souverainisme économique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36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d’une donnée fiable et d’actualité. Alors que dans de nombreux pays avancés, </w:t>
      </w:r>
    </w:p>
    <w:sectPr w:rsidR="00FC693F" w:rsidRPr="0006063C" w:rsidSect="00034616">
      <w:pgSz w:w="11906" w:h="16838"/>
      <w:pgMar w:top="708" w:right="1320" w:bottom="262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