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720" w:firstLine="0"/>
        <w:jc w:val="center"/>
      </w:pPr>
      <w:r>
        <w:rPr>
          <w:rFonts w:ascii="Arial,BoldItalic" w:hAnsi="Arial,BoldItalic" w:eastAsia="Arial,BoldItalic"/>
          <w:b/>
          <w:i/>
        </w:rPr>
        <w:t>Discours de Monsieur le Gouverneur de Bank Al-</w:t>
      </w:r>
    </w:p>
    <w:p>
      <w:pPr>
        <w:sectPr>
          <w:pgSz w:w="11900" w:h="16840"/>
          <w:pgMar w:top="762" w:right="1440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18" w:right="1440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7,5%. Du côté des sources de la création monétaire, </w:t>
      </w:r>
    </w:p>
    <w:p>
      <w:pPr>
        <w:sectPr>
          <w:pgSz w:w="11900" w:h="16840"/>
          <w:pgMar w:top="712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18" w:right="1872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d’inflation à un niveau inférieur à la limite de 2% prise en </w:t>
      </w:r>
    </w:p>
    <w:p>
      <w:pPr>
        <w:sectPr>
          <w:pgSz w:w="11900" w:h="16840"/>
          <w:pgMar w:top="712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18" w:right="1440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général du FMI a souligné que certaines fragilités devaient </w:t>
      </w:r>
    </w:p>
    <w:p>
      <w:pPr>
        <w:sectPr>
          <w:pgSz w:w="11900" w:h="16840"/>
          <w:pgMar w:top="712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18" w:right="1584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développer notre capacité technique à prévoir l’évolution des </w:t>
      </w:r>
    </w:p>
    <w:p>
      <w:pPr>
        <w:sectPr>
          <w:pgSz w:w="11900" w:h="16840"/>
          <w:pgMar w:top="712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18" w:right="1440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secteur se fragilise d’année en année, sous l’effet conjugué de </w:t>
      </w:r>
    </w:p>
    <w:p>
      <w:pPr>
        <w:sectPr>
          <w:pgSz w:w="11900" w:h="16840"/>
          <w:pgMar w:top="712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1418" w:right="0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rattraper. </w:t>
      </w:r>
    </w:p>
    <w:p>
      <w:pPr>
        <w:sectPr>
          <w:pgSz w:w="11900" w:h="16840"/>
          <w:pgMar w:top="712" w:right="1440" w:bottom="9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18" w:right="1584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Aussi, je ne peux qu’appuyer le dialogue qui s’est instauré </w:t>
      </w:r>
    </w:p>
    <w:p>
      <w:pPr>
        <w:sectPr>
          <w:pgSz w:w="11900" w:h="16840"/>
          <w:pgMar w:top="712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18" w:right="1728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et à travers le développement d’un système de règlement de </w:t>
      </w:r>
    </w:p>
    <w:sectPr w:rsidR="00FC693F" w:rsidRPr="0006063C" w:rsidSect="00034616">
      <w:pgSz w:w="11900" w:h="16840"/>
      <w:pgMar w:top="712" w:right="1440" w:bottom="136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