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17979" cy="9664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7979" cy="966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9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90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228" w:after="0"/>
        <w:ind w:left="2304" w:right="1728" w:firstLine="0"/>
        <w:jc w:val="center"/>
      </w:pPr>
      <w:r>
        <w:rPr>
          <w:rFonts w:ascii="Arial" w:hAnsi="Arial" w:eastAsia="Arial"/>
          <w:b/>
          <w:i w:val="0"/>
        </w:rPr>
        <w:t xml:space="preserve">CAMPAGNE NATIONALE DE SENSIBILISATION SOUS LE THÈME </w:t>
      </w:r>
    </w:p>
    <w:p>
      <w:pPr>
        <w:sectPr>
          <w:pgSz w:w="11904" w:h="16840"/>
          <w:pgMar w:top="902" w:right="0" w:bottom="144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432" w:lineRule="exact" w:before="0" w:after="48"/>
        <w:ind w:left="338" w:right="0" w:firstLine="0"/>
        <w:jc w:val="left"/>
      </w:pPr>
      <w:r>
        <w:rPr>
          <w:rFonts w:ascii="ArialMT" w:hAnsi="ArialMT" w:eastAsia="ArialMT"/>
          <w:b w:val="0"/>
          <w:i w:val="0"/>
        </w:rPr>
        <w:t xml:space="preserve">Monsieur le Président de la Chambre des Représentants, </w:t>
      </w:r>
    </w:p>
    <w:p>
      <w:pPr>
        <w:sectPr>
          <w:pgSz w:w="11904" w:h="16840"/>
          <w:pgMar w:top="708" w:right="123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32" w:lineRule="exact" w:before="0" w:after="0"/>
        <w:ind w:left="334" w:right="0" w:firstLine="0"/>
        <w:jc w:val="left"/>
      </w:pPr>
      <w:r>
        <w:rPr>
          <w:rFonts w:ascii="ArialMT" w:hAnsi="ArialMT" w:eastAsia="ArialMT"/>
          <w:b w:val="0"/>
          <w:i w:val="0"/>
        </w:rPr>
        <w:t xml:space="preserve">témoignant ainsi de l’intérêt particulier qu’elles portent à l’objet et aux </w:t>
      </w:r>
    </w:p>
    <w:p>
      <w:pPr>
        <w:sectPr>
          <w:pgSz w:w="11904" w:h="16840"/>
          <w:pgMar w:top="768" w:right="123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68" w:lineRule="exact" w:before="0" w:after="48"/>
        <w:ind w:left="334" w:right="22" w:firstLine="0"/>
        <w:jc w:val="both"/>
      </w:pPr>
      <w:r>
        <w:rPr>
          <w:rFonts w:ascii="ArialMT" w:hAnsi="ArialMT" w:eastAsia="ArialMT"/>
          <w:b w:val="0"/>
          <w:i w:val="0"/>
        </w:rPr>
        <w:t xml:space="preserve">Ce dispositif qui s’inscrit, également, dans le cadre de la participation </w:t>
      </w:r>
    </w:p>
    <w:p>
      <w:pPr>
        <w:sectPr>
          <w:pgSz w:w="11904" w:h="16840"/>
          <w:pgMar w:top="768" w:right="122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32" w:lineRule="exact" w:before="0" w:after="0"/>
        <w:ind w:left="334" w:right="0" w:firstLine="0"/>
        <w:jc w:val="left"/>
      </w:pPr>
      <w:r>
        <w:rPr>
          <w:rFonts w:ascii="ArialMT" w:hAnsi="ArialMT" w:eastAsia="ArialMT"/>
          <w:b w:val="0"/>
          <w:i w:val="0"/>
        </w:rPr>
        <w:t xml:space="preserve">Mondiale, de la stabilité économique et financière et partant, influe sur </w:t>
      </w:r>
    </w:p>
    <w:p>
      <w:pPr>
        <w:sectPr>
          <w:pgSz w:w="11904" w:h="16840"/>
          <w:pgMar w:top="768" w:right="123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56" w:lineRule="exact" w:before="0" w:after="0"/>
        <w:ind w:left="334" w:right="20" w:firstLine="0"/>
        <w:jc w:val="both"/>
      </w:pPr>
      <w:r>
        <w:rPr>
          <w:rFonts w:ascii="ArialMT" w:hAnsi="ArialMT" w:eastAsia="ArialMT"/>
          <w:b w:val="0"/>
          <w:i w:val="0"/>
        </w:rPr>
        <w:t xml:space="preserve">environnement international marqué par la globalisation de l’économie </w:t>
      </w:r>
    </w:p>
    <w:p>
      <w:pPr>
        <w:sectPr>
          <w:pgSz w:w="11904" w:h="16840"/>
          <w:pgMar w:top="768" w:right="123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64" w:lineRule="exact" w:before="0" w:after="0"/>
        <w:ind w:left="334" w:right="0" w:firstLine="0"/>
        <w:jc w:val="left"/>
      </w:pPr>
      <w:r>
        <w:rPr>
          <w:rFonts w:ascii="ArialMT" w:hAnsi="ArialMT" w:eastAsia="ArialMT"/>
          <w:b w:val="0"/>
          <w:i w:val="0"/>
        </w:rPr>
        <w:t xml:space="preserve">C’est ainsi que Bank Al-Maghrib, dans le cadre de l’exercice de ses </w:t>
      </w:r>
    </w:p>
    <w:p>
      <w:pPr>
        <w:sectPr>
          <w:pgSz w:w="11904" w:h="16840"/>
          <w:pgMar w:top="768" w:right="123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60" w:lineRule="exact" w:before="0" w:after="0"/>
        <w:ind w:left="334" w:right="20" w:firstLine="0"/>
        <w:jc w:val="both"/>
      </w:pPr>
      <w:r>
        <w:rPr>
          <w:rFonts w:ascii="ArialMT" w:hAnsi="ArialMT" w:eastAsia="ArialMT"/>
          <w:b w:val="0"/>
          <w:i w:val="0"/>
        </w:rPr>
        <w:t xml:space="preserve">Aussi, avons-nous exigé que ces institutions se dotent d’une structure </w:t>
      </w:r>
    </w:p>
    <w:p>
      <w:pPr>
        <w:sectPr>
          <w:pgSz w:w="11904" w:h="16840"/>
          <w:pgMar w:top="768" w:right="123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56" w:lineRule="exact" w:before="0" w:after="0"/>
        <w:ind w:left="334" w:right="22" w:firstLine="0"/>
        <w:jc w:val="both"/>
      </w:pPr>
      <w:r>
        <w:rPr>
          <w:rFonts w:ascii="ArialMT" w:hAnsi="ArialMT" w:eastAsia="ArialMT"/>
          <w:b w:val="0"/>
          <w:i w:val="0"/>
        </w:rPr>
        <w:t xml:space="preserve">Ces mesures ont permis de bien préparer le système bancaire à la </w:t>
      </w:r>
    </w:p>
    <w:p>
      <w:pPr>
        <w:sectPr>
          <w:pgSz w:w="11904" w:h="16840"/>
          <w:pgMar w:top="768" w:right="123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66" w:lineRule="exact" w:before="0" w:after="0"/>
        <w:ind w:left="334" w:right="24" w:firstLine="0"/>
        <w:jc w:val="both"/>
      </w:pPr>
      <w:r>
        <w:rPr>
          <w:rFonts w:ascii="ArialMT" w:hAnsi="ArialMT" w:eastAsia="ArialMT"/>
          <w:b w:val="0"/>
          <w:i w:val="0"/>
        </w:rPr>
        <w:t xml:space="preserve">des systèmes et moyens de paiement, l’extension du champ </w:t>
      </w:r>
    </w:p>
    <w:p>
      <w:pPr>
        <w:sectPr>
          <w:pgSz w:w="11904" w:h="16840"/>
          <w:pgMar w:top="768" w:right="122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432" w:lineRule="exact" w:before="0" w:after="0"/>
        <w:ind w:left="334" w:right="0" w:firstLine="0"/>
        <w:jc w:val="left"/>
      </w:pPr>
      <w:r>
        <w:rPr>
          <w:rFonts w:ascii="ArialMT" w:hAnsi="ArialMT" w:eastAsia="ArialMT"/>
          <w:b w:val="0"/>
          <w:i w:val="0"/>
        </w:rPr>
        <w:t xml:space="preserve">respective tout au long du processus d’élaboration et d’adoption de la </w:t>
      </w:r>
    </w:p>
    <w:sectPr w:rsidR="00FC693F" w:rsidRPr="0006063C" w:rsidSect="00034616">
      <w:pgSz w:w="11904" w:h="16840"/>
      <w:pgMar w:top="768" w:right="1232" w:bottom="34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