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56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951990" cy="10248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248"/>
      </w:tblGrid>
      <w:tr>
        <w:trPr>
          <w:trHeight w:hRule="exact" w:val="2546"/>
        </w:trPr>
        <w:tc>
          <w:tcPr>
            <w:tcW w:type="dxa" w:w="92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5b86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422" w:after="0"/>
              <w:ind w:left="144" w:right="144" w:firstLine="0"/>
              <w:jc w:val="center"/>
            </w:pPr>
            <w:r>
              <w:rPr>
                <w:rFonts w:ascii="BookmanOldStyle" w:hAnsi="BookmanOldStyle" w:eastAsia="BookmanOldStyle"/>
                <w:b w:val="0"/>
                <w:i w:val="0"/>
              </w:rPr>
              <w:t xml:space="preserve">Allocution de Monsieur le Gouverneur de Bank Al-Maghrib à la </w:t>
            </w:r>
          </w:p>
        </w:tc>
      </w:tr>
    </w:tbl>
    <w:p>
      <w:pPr>
        <w:sectPr>
          <w:pgSz w:w="11900" w:h="16840"/>
          <w:pgMar w:top="710" w:right="1274" w:bottom="1282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Mon intervention sera centrée sur les progrès réalisés depuis notre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données pour un meilleur suivi des sphères financières et réelles. Des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compris. Une rencontre annuelle entre le Gouverneur et la presse est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Au terme de l’année 2008, l’inflation devrait atteindre 2,7%, niveau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La Banque centrale suit de près l’évolution des différents facteurs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didactiques à l’attention du grand public pour faciliter sa compréhension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accroissement de 26,3 % par rapport à la même période de l’année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dirhams, en hausse de 24,8%, soit un rythme comparable à celui de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taux interbancaire au jour le jour d’évoluer dans un intervalle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cartographie des risques. En outre, Bank Al-Maghrib a rehaussé les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blanchiment des capitaux, ainsi qu’au projet de loi relatif au marché à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2005. Cette expansion traduit la poursuite de la politique de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Dans le cadre de l’amélioration des relations Banques—PME, la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En ce sens, la prévision d’inflation joue aujourd’hui un rôle central dans </w:t>
      </w:r>
    </w:p>
    <w:p>
      <w:pPr>
        <w:sectPr>
          <w:pgSz w:w="11900" w:h="16840"/>
          <w:pgMar w:top="478" w:right="131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2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pour une meilleure maîtrise des risques et à améliorer la transparence </w:t>
      </w:r>
    </w:p>
    <w:sectPr w:rsidR="00FC693F" w:rsidRPr="0006063C" w:rsidSect="00034616">
      <w:pgSz w:w="11900" w:h="16840"/>
      <w:pgMar w:top="478" w:right="1310" w:bottom="356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