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15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019299" cy="100837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299" cy="10083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1944" w:after="0"/>
        <w:ind w:left="0" w:right="2326" w:firstLine="0"/>
        <w:jc w:val="right"/>
      </w:pPr>
      <w:r>
        <w:rPr>
          <w:rFonts w:ascii="Bookman Old Style" w:hAnsi="Bookman Old Style" w:eastAsia="Bookman Old Style"/>
          <w:b/>
          <w:i w:val="0"/>
        </w:rPr>
        <w:t xml:space="preserve">Table Ronde sous le thème </w:t>
      </w:r>
    </w:p>
    <w:p>
      <w:pPr>
        <w:sectPr>
          <w:pgSz w:w="11906" w:h="16838"/>
          <w:pgMar w:top="708" w:right="1278" w:bottom="1314" w:left="130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Garamond" w:hAnsi="Garamond" w:eastAsia="Garamond"/>
          <w:b/>
          <w:i w:val="0"/>
        </w:rPr>
        <w:t xml:space="preserve">Mesdames les Ministres, </w:t>
      </w:r>
    </w:p>
    <w:p>
      <w:pPr>
        <w:sectPr>
          <w:pgSz w:w="11906" w:h="16838"/>
          <w:pgMar w:top="708" w:right="1320" w:bottom="490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2" w:firstLine="0"/>
        <w:jc w:val="both"/>
      </w:pPr>
      <w:r>
        <w:rPr>
          <w:rFonts w:ascii="Garamond" w:hAnsi="Garamond" w:eastAsia="Garamond"/>
          <w:b w:val="0"/>
          <w:i w:val="0"/>
        </w:rPr>
        <w:t xml:space="preserve">Le thème objet de nos échanges aujourd’hui constitue un cas édifiant à cet </w:t>
      </w:r>
    </w:p>
    <w:p>
      <w:pPr>
        <w:sectPr>
          <w:pgSz w:w="11906" w:h="16838"/>
          <w:pgMar w:top="708" w:right="1320" w:bottom="490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Garamond" w:hAnsi="Garamond" w:eastAsia="Garamond"/>
          <w:b w:val="0"/>
          <w:i w:val="0"/>
        </w:rPr>
        <w:t xml:space="preserve">Pour les pays en développement en particulier, l’enjeu reste de taille, il s’agit </w:t>
      </w:r>
    </w:p>
    <w:sectPr w:rsidR="00FC693F" w:rsidRPr="0006063C" w:rsidSect="00034616">
      <w:pgSz w:w="11906" w:h="16838"/>
      <w:pgMar w:top="708" w:right="1320" w:bottom="490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