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26590" cy="1297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4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CONFERENCE DE LA CONFEDERATION </w:t>
      </w:r>
    </w:p>
    <w:p>
      <w:pPr>
        <w:sectPr>
          <w:pgSz w:w="11906" w:h="16838"/>
          <w:pgMar w:top="392" w:right="1044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Elle suppose que les établissements de crédit soient dotés d’un système </w:t>
      </w:r>
    </w:p>
    <w:p>
      <w:pPr>
        <w:sectPr>
          <w:pgSz w:w="11906" w:h="16838"/>
          <w:pgMar w:top="498" w:right="1042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334" w:lineRule="auto" w:before="0" w:after="0"/>
        <w:ind w:left="0" w:right="24" w:firstLine="0"/>
        <w:jc w:val="both"/>
      </w:pPr>
      <w:r>
        <w:rPr>
          <w:rFonts w:ascii="Arial" w:hAnsi="Arial" w:eastAsia="Arial"/>
          <w:b w:val="0"/>
          <w:i w:val="0"/>
        </w:rPr>
        <w:t xml:space="preserve">Dans le contexte de groupes bancaires, le périmètre d’intervention de la fonction </w:t>
      </w:r>
    </w:p>
    <w:p>
      <w:pPr>
        <w:sectPr>
          <w:pgSz w:w="11906" w:h="16838"/>
          <w:pgMar w:top="498" w:right="1044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24" w:firstLine="0"/>
        <w:jc w:val="both"/>
      </w:pPr>
      <w:r>
        <w:rPr>
          <w:rFonts w:ascii="Arial" w:hAnsi="Arial" w:eastAsia="Arial"/>
          <w:b w:val="0"/>
          <w:i w:val="0"/>
        </w:rPr>
        <w:t xml:space="preserve">Je m’appuie fortement sur ses conclusions pour identifier les pistes d’amélioration </w:t>
      </w:r>
    </w:p>
    <w:p>
      <w:pPr>
        <w:sectPr>
          <w:pgSz w:w="11906" w:h="16838"/>
          <w:pgMar w:top="498" w:right="1042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nôtres. Ainsi, au-delà de sa mission d’assurance traditionnelle, qui est fondamentale </w:t>
      </w:r>
    </w:p>
    <w:sectPr w:rsidR="00FC693F" w:rsidRPr="0006063C" w:rsidSect="00034616">
      <w:pgSz w:w="11906" w:h="16838"/>
      <w:pgMar w:top="478" w:right="1044" w:bottom="35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