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6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40789" cy="7327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0789" cy="732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768" w:val="left"/>
          <w:tab w:pos="3084" w:val="left"/>
        </w:tabs>
        <w:autoSpaceDE w:val="0"/>
        <w:widowControl/>
        <w:spacing w:line="366" w:lineRule="exact" w:before="76" w:after="0"/>
        <w:ind w:left="662" w:right="720" w:firstLine="0"/>
        <w:jc w:val="left"/>
      </w:pPr>
      <w:r>
        <w:rPr>
          <w:rFonts w:ascii="Times New Roman,Bold" w:hAnsi="Times New Roman,Bold" w:eastAsia="Times New Roman,Bold"/>
          <w:b/>
          <w:i w:val="0"/>
        </w:rPr>
        <w:t xml:space="preserve">Discours de Monsieur le Directeur Général </w:t>
      </w:r>
    </w:p>
    <w:p>
      <w:pPr>
        <w:sectPr>
          <w:pgSz w:w="11906" w:h="16838"/>
          <w:pgMar w:top="638" w:right="1328" w:bottom="492" w:left="12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</w:rPr>
        <w:t xml:space="preserve">Aujourd’hui, une dizaine de pays sont représentés dans ce séminaire </w:t>
      </w:r>
    </w:p>
    <w:p>
      <w:pPr>
        <w:sectPr>
          <w:pgSz w:w="11906" w:h="16838"/>
          <w:pgMar w:top="668" w:right="132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non agricole a ralenti suite à la crise et se situe en moyenne autour de 3% </w:t>
      </w:r>
    </w:p>
    <w:p>
      <w:pPr>
        <w:sectPr>
          <w:pgSz w:w="11906" w:h="16838"/>
          <w:pgMar w:top="668" w:right="132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autoSpaceDE w:val="0"/>
        <w:widowControl/>
        <w:spacing w:line="281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désignée pour remédier aux problèmes de la sélection adverse et de l’aléa </w:t>
      </w:r>
    </w:p>
    <w:p>
      <w:pPr>
        <w:sectPr>
          <w:pgSz w:w="11906" w:h="16838"/>
          <w:pgMar w:top="668" w:right="132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Honorables invités, </w:t>
      </w:r>
    </w:p>
    <w:sectPr w:rsidR="00FC693F" w:rsidRPr="0006063C" w:rsidSect="00034616">
      <w:pgSz w:w="11906" w:h="16838"/>
      <w:pgMar w:top="670" w:right="1328" w:bottom="49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