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5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440" w:right="1296" w:firstLine="0"/>
        <w:jc w:val="center"/>
      </w:pPr>
      <w:r>
        <w:rPr>
          <w:rFonts w:ascii="Arial,BoldItalic" w:hAnsi="Arial,BoldItalic" w:eastAsia="Arial,BoldItalic"/>
          <w:b/>
          <w:i/>
        </w:rPr>
        <w:t xml:space="preserve">Première réunion du Groupe de Superviseurs </w:t>
      </w:r>
    </w:p>
    <w:p>
      <w:pPr>
        <w:sectPr>
          <w:pgSz w:w="11900" w:h="16840"/>
          <w:pgMar w:top="772" w:right="1440" w:bottom="7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78" w:right="1440" w:firstLine="0"/>
        <w:jc w:val="left"/>
      </w:pPr>
      <w:r>
        <w:rPr>
          <w:rFonts w:ascii="TimesNewRoman" w:hAnsi="TimesNewRoman" w:eastAsia="TimesNewRoman"/>
          <w:b w:val="0"/>
          <w:i w:val="0"/>
        </w:rPr>
        <w:t xml:space="preserve">en œuvre de Bâle II et de manière générale dans le domaine </w:t>
      </w:r>
    </w:p>
    <w:p>
      <w:pPr>
        <w:sectPr>
          <w:pgSz w:w="11900" w:h="16840"/>
          <w:pgMar w:top="712" w:right="1440" w:bottom="81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78" w:right="1440" w:firstLine="0"/>
        <w:jc w:val="left"/>
      </w:pPr>
      <w:r>
        <w:rPr>
          <w:rFonts w:ascii="TimesNewRoman" w:hAnsi="TimesNewRoman" w:eastAsia="TimesNewRoman"/>
          <w:b w:val="0"/>
          <w:i w:val="0"/>
        </w:rPr>
        <w:t xml:space="preserve">en assurer le succès, notamment l’existence d’un cadre de </w:t>
      </w:r>
    </w:p>
    <w:p>
      <w:pPr>
        <w:sectPr>
          <w:pgSz w:w="11900" w:h="16840"/>
          <w:pgMar w:top="712" w:right="1440" w:bottom="81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1778" w:right="0" w:firstLine="0"/>
        <w:jc w:val="left"/>
      </w:pPr>
      <w:r>
        <w:rPr>
          <w:rFonts w:ascii="TimesNewRoman" w:hAnsi="TimesNewRoman" w:eastAsia="TimesNewRoman"/>
          <w:b w:val="0"/>
          <w:i w:val="0"/>
        </w:rPr>
        <w:t xml:space="preserve">de procédures de contrôle proactif, basé sur les risques. </w:t>
      </w:r>
    </w:p>
    <w:p>
      <w:pPr>
        <w:sectPr>
          <w:pgSz w:w="11900" w:h="16840"/>
          <w:pgMar w:top="712" w:right="1440" w:bottom="81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78" w:right="1296" w:firstLine="0"/>
        <w:jc w:val="left"/>
      </w:pPr>
      <w:r>
        <w:rPr>
          <w:rFonts w:ascii="TimesNewRoman" w:hAnsi="TimesNewRoman" w:eastAsia="TimesNewRoman"/>
          <w:b w:val="0"/>
          <w:i w:val="0"/>
        </w:rPr>
        <w:t xml:space="preserve">pour la Stabilité Financière concrétise le processus de </w:t>
      </w:r>
    </w:p>
    <w:sectPr w:rsidR="00FC693F" w:rsidRPr="0006063C" w:rsidSect="00034616">
      <w:pgSz w:w="11900" w:h="16840"/>
      <w:pgMar w:top="712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