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5449" cy="1198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49" cy="119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480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</w:rPr>
        <w:t xml:space="preserve">Allocution d’ouverture de Monsieur le Directeur Général </w:t>
      </w:r>
    </w:p>
    <w:p>
      <w:pPr>
        <w:sectPr>
          <w:pgSz w:w="11906" w:h="16838"/>
          <w:pgMar w:top="354" w:right="131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005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9" w:lineRule="auto" w:before="10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</w:rPr>
        <w:t xml:space="preserve">Je tiens aussi à saluer la présence parmi nous des représentants des </w:t>
      </w:r>
    </w:p>
    <w:p>
      <w:pPr>
        <w:sectPr>
          <w:pgSz w:w="11906" w:h="16838"/>
          <w:pgMar w:top="354" w:right="131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0050" cy="38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10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</w:rPr>
        <w:t xml:space="preserve">Ces stratégies visent   à porter la part des ressources énergétiques </w:t>
      </w:r>
    </w:p>
    <w:p>
      <w:pPr>
        <w:sectPr>
          <w:pgSz w:w="11906" w:h="16838"/>
          <w:pgMar w:top="354" w:right="131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0050" cy="381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1" w:lineRule="auto" w:before="10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</w:rPr>
        <w:t xml:space="preserve">C’est pourquoi Bank Al-Maghrib a rejoint, en 2018, le Réseau des </w:t>
      </w:r>
    </w:p>
    <w:p>
      <w:pPr>
        <w:sectPr>
          <w:pgSz w:w="11906" w:h="16838"/>
          <w:pgMar w:top="354" w:right="131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0050" cy="381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1" w:lineRule="auto" w:before="844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</w:rPr>
        <w:t xml:space="preserve">Le travail en cours sur le développement de la taxonomie </w:t>
      </w:r>
    </w:p>
    <w:sectPr w:rsidR="00FC693F" w:rsidRPr="0006063C" w:rsidSect="00034616">
      <w:pgSz w:w="11906" w:h="16838"/>
      <w:pgMar w:top="354" w:right="1318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