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8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44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543050" cy="1054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5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38" w:val="left"/>
        </w:tabs>
        <w:autoSpaceDE w:val="0"/>
        <w:widowControl/>
        <w:spacing w:line="250" w:lineRule="auto" w:before="520" w:after="0"/>
        <w:ind w:left="828" w:right="720" w:firstLine="0"/>
        <w:jc w:val="left"/>
      </w:pPr>
      <w:r>
        <w:rPr>
          <w:rFonts w:ascii="Calibri" w:hAnsi="Calibri" w:eastAsia="Calibri"/>
          <w:b/>
          <w:i w:val="0"/>
        </w:rPr>
        <w:t xml:space="preserve">Table ronde co-organisée avec la Coalition Marocaine pour l’Eau </w:t>
      </w:r>
    </w:p>
    <w:p>
      <w:pPr>
        <w:sectPr>
          <w:pgSz w:w="11906" w:h="16838"/>
          <w:pgMar w:top="504" w:right="1332" w:bottom="35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 La réponse à cette interrogation se situe à deux niveaux : </w:t>
      </w:r>
    </w:p>
    <w:p>
      <w:pPr>
        <w:sectPr>
          <w:pgSz w:w="11906" w:h="16838"/>
          <w:pgMar w:top="736" w:right="1332" w:bottom="356" w:left="13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8" w:lineRule="auto" w:before="5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sensibiliser </w:t>
      </w:r>
    </w:p>
    <w:p>
      <w:pPr>
        <w:sectPr>
          <w:pgSz w:w="11906" w:h="16838"/>
          <w:pgMar w:top="708" w:right="1332" w:bottom="35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8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28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Ainsi, les chocs climatiques peuvent engendrer un ralentissement de l’activité </w:t>
      </w:r>
    </w:p>
    <w:p>
      <w:pPr>
        <w:sectPr>
          <w:pgSz w:w="11906" w:h="16838"/>
          <w:pgMar w:top="736" w:right="1332" w:bottom="356" w:left="13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326" w:lineRule="auto" w:before="0" w:after="172"/>
        <w:ind w:left="0" w:right="20" w:firstLine="0"/>
        <w:jc w:val="both"/>
      </w:pPr>
      <w:r>
        <w:rPr>
          <w:rFonts w:ascii="Calibri" w:hAnsi="Calibri" w:eastAsia="Calibri"/>
          <w:b w:val="0"/>
          <w:i w:val="0"/>
        </w:rPr>
        <w:t xml:space="preserve">Pour accompagner les banques dans l’application de cette directive, des études </w:t>
      </w:r>
    </w:p>
    <w:p>
      <w:pPr>
        <w:sectPr>
          <w:pgSz w:w="11906" w:h="16838"/>
          <w:pgMar w:top="738" w:right="1332" w:bottom="35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(SFI), en vue d’assurer </w:t>
      </w:r>
    </w:p>
    <w:sectPr w:rsidR="00FC693F" w:rsidRPr="0006063C" w:rsidSect="00034616">
      <w:pgSz w:w="11906" w:h="16838"/>
      <w:pgMar w:top="738" w:right="1332" w:bottom="356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