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60"/>
        <w:ind w:left="0" w:right="0"/>
      </w:pPr>
    </w:p>
    <w:p>
      <w:pPr>
        <w:autoSpaceDN w:val="0"/>
        <w:autoSpaceDE w:val="0"/>
        <w:widowControl/>
        <w:spacing w:line="386" w:lineRule="exact" w:before="0" w:after="0"/>
        <w:ind w:left="2030" w:right="0" w:firstLine="0"/>
        <w:jc w:val="left"/>
      </w:pPr>
      <w:r>
        <w:rPr>
          <w:rFonts w:ascii="AGaramond" w:hAnsi="AGaramond" w:eastAsia="AGaramond"/>
          <w:b/>
          <w:i w:val="0"/>
        </w:rPr>
        <w:t>Rencontre annuelle avec la presse</w:t>
      </w:r>
    </w:p>
    <w:p>
      <w:pPr>
        <w:sectPr>
          <w:pgSz w:w="11906" w:h="16838"/>
          <w:pgMar w:top="1440" w:right="1194" w:bottom="744" w:left="127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2"/>
        <w:ind w:left="0" w:right="0"/>
      </w:pPr>
    </w:p>
    <w:p>
      <w:pPr>
        <w:autoSpaceDN w:val="0"/>
        <w:autoSpaceDE w:val="0"/>
        <w:widowControl/>
        <w:spacing w:line="334" w:lineRule="exact" w:before="0" w:after="0"/>
        <w:ind w:left="344" w:right="0" w:firstLine="0"/>
        <w:jc w:val="left"/>
      </w:pPr>
      <w:r>
        <w:rPr>
          <w:rFonts w:ascii="Frutiger" w:hAnsi="Frutiger" w:eastAsia="Frutiger"/>
          <w:b/>
          <w:i w:val="0"/>
        </w:rPr>
        <w:t>I. La politique monétaire</w:t>
      </w:r>
    </w:p>
    <w:p>
      <w:pPr>
        <w:sectPr>
          <w:pgSz w:w="11906" w:h="16838"/>
          <w:pgMar w:top="682" w:right="1192" w:bottom="976" w:left="12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4" w:right="20" w:firstLine="0"/>
        <w:jc w:val="both"/>
      </w:pPr>
      <w:r>
        <w:rPr>
          <w:rFonts w:ascii="Frutiger" w:hAnsi="Frutiger" w:eastAsia="Frutiger"/>
          <w:b w:val="0"/>
          <w:i w:val="0"/>
        </w:rPr>
        <w:t xml:space="preserve">Le dénouement de la crise du marché hypothécaire n’est pas encore derrière nous et ses </w:t>
      </w:r>
    </w:p>
    <w:p>
      <w:pPr>
        <w:sectPr>
          <w:pgSz w:w="11906" w:h="16838"/>
          <w:pgMar w:top="688" w:right="1194" w:bottom="550" w:left="12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2" w:right="20" w:firstLine="2"/>
        <w:jc w:val="both"/>
      </w:pPr>
      <w:r>
        <w:rPr>
          <w:rFonts w:ascii="Frutiger" w:hAnsi="Frutiger" w:eastAsia="Frutiger"/>
          <w:b w:val="0"/>
          <w:i w:val="0"/>
        </w:rPr>
        <w:t xml:space="preserve">Il est important de noter que c’est cette dynamique de restructuration et de modernisation </w:t>
      </w:r>
    </w:p>
    <w:p>
      <w:pPr>
        <w:sectPr>
          <w:pgSz w:w="11906" w:h="16838"/>
          <w:pgMar w:top="688" w:right="1194" w:bottom="548" w:left="12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" w:firstLine="0"/>
        <w:jc w:val="both"/>
      </w:pPr>
      <w:r>
        <w:rPr>
          <w:rFonts w:ascii="Frutiger" w:hAnsi="Frutiger" w:eastAsia="Frutiger"/>
          <w:b w:val="0"/>
          <w:i w:val="0"/>
        </w:rPr>
        <w:t xml:space="preserve">En outre, Bank Al-Maghrib a demandé au secteur bancaire la mise en place de codes d’éthique </w:t>
      </w:r>
    </w:p>
    <w:p>
      <w:pPr>
        <w:sectPr>
          <w:pgSz w:w="11906" w:h="16838"/>
          <w:pgMar w:top="688" w:right="1194" w:bottom="698" w:left="127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30" w:right="24" w:hanging="170"/>
        <w:jc w:val="both"/>
      </w:pPr>
      <w:r>
        <w:rPr>
          <w:rFonts w:ascii="Frutiger" w:hAnsi="Frutiger" w:eastAsia="Frutiger"/>
          <w:b w:val="0"/>
          <w:i w:val="0"/>
        </w:rPr>
        <w:t xml:space="preserve">• Adopté la charte interbancaire relative au dispositif de médiation bancaire visant le </w:t>
      </w:r>
    </w:p>
    <w:p>
      <w:pPr>
        <w:sectPr>
          <w:pgSz w:w="11906" w:h="16838"/>
          <w:pgMar w:top="688" w:right="1192" w:bottom="642" w:left="12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8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2" w:right="22" w:firstLine="0"/>
        <w:jc w:val="both"/>
      </w:pPr>
      <w:r>
        <w:rPr>
          <w:rFonts w:ascii="Frutiger" w:hAnsi="Frutiger" w:eastAsia="Frutiger"/>
          <w:b w:val="0"/>
          <w:i w:val="0"/>
        </w:rPr>
        <w:t xml:space="preserve">L’attention des banques a été attirée sur les risques juridiques et de réputation auxquels elles </w:t>
      </w:r>
    </w:p>
    <w:p>
      <w:pPr>
        <w:sectPr>
          <w:pgSz w:w="11906" w:h="16838"/>
          <w:pgMar w:top="638" w:right="1192" w:bottom="664" w:left="127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0" w:right="22" w:firstLine="2"/>
        <w:jc w:val="both"/>
      </w:pPr>
      <w:r>
        <w:rPr>
          <w:rFonts w:ascii="Frutiger" w:hAnsi="Frutiger" w:eastAsia="Frutiger"/>
          <w:b w:val="0"/>
          <w:i w:val="0"/>
        </w:rPr>
        <w:t xml:space="preserve">de suivi pour apprécier l’impact de ces mesures. Sur la base de cette évaluation, de nouveaux </w:t>
      </w:r>
    </w:p>
    <w:p>
      <w:pPr>
        <w:sectPr>
          <w:pgSz w:w="11906" w:h="16838"/>
          <w:pgMar w:top="688" w:right="1192" w:bottom="764" w:left="127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0" w:right="26" w:firstLine="2"/>
        <w:jc w:val="both"/>
      </w:pPr>
      <w:r>
        <w:rPr>
          <w:rFonts w:ascii="Frutiger" w:hAnsi="Frutiger" w:eastAsia="Frutiger"/>
          <w:b w:val="0"/>
          <w:i w:val="0"/>
        </w:rPr>
        <w:t xml:space="preserve">La refonte et la modernisation de l’ensemble de ses dispositifs de gestion des ressources </w:t>
      </w:r>
    </w:p>
    <w:sectPr w:rsidR="00FC693F" w:rsidRPr="0006063C" w:rsidSect="00034616">
      <w:pgSz w:w="11906" w:h="16838"/>
      <w:pgMar w:top="688" w:right="1188" w:bottom="1440" w:left="127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