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72310" cy="1303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512" w:after="0"/>
        <w:ind w:left="0" w:right="0" w:firstLine="0"/>
        <w:jc w:val="center"/>
      </w:pPr>
      <w:r>
        <w:rPr>
          <w:rFonts w:ascii="Calibri" w:hAnsi="Calibri" w:eastAsia="Calibri"/>
          <w:b/>
          <w:i w:val="0"/>
        </w:rPr>
        <w:t xml:space="preserve">Stratégie Finance Durable : Réunion de lancement </w:t>
      </w:r>
    </w:p>
    <w:p>
      <w:pPr>
        <w:sectPr>
          <w:pgSz w:w="11906" w:h="16838"/>
          <w:pgMar w:top="354" w:right="1360" w:bottom="144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9" w:lineRule="auto" w:before="470" w:after="0"/>
        <w:ind w:left="0" w:right="432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Secrétaire Général du Ministère chargé de l’Environnement, </w:t>
      </w:r>
    </w:p>
    <w:p>
      <w:pPr>
        <w:sectPr>
          <w:pgSz w:w="11906" w:h="16838"/>
          <w:pgMar w:top="354" w:right="1326" w:bottom="8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3" w:lineRule="auto" w:before="47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Mais la finance durable relève surtout de la responsabilité première de la </w:t>
      </w:r>
    </w:p>
    <w:p>
      <w:pPr>
        <w:sectPr>
          <w:pgSz w:w="11906" w:h="16838"/>
          <w:pgMar w:top="354" w:right="1326" w:bottom="144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auto" w:before="47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Ces orientations sont soit (1) édictées par les autorités de régulation financière ou </w:t>
      </w:r>
    </w:p>
    <w:p>
      <w:pPr>
        <w:sectPr>
          <w:pgSz w:w="11906" w:h="16838"/>
          <w:pgMar w:top="354" w:right="1326" w:bottom="96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auto" w:before="47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La table ronde, que nous organisons aujourd’hui, nous permettra de dégager </w:t>
      </w:r>
    </w:p>
    <w:sectPr w:rsidR="00FC693F" w:rsidRPr="0006063C" w:rsidSect="00034616">
      <w:pgSz w:w="11906" w:h="16838"/>
      <w:pgMar w:top="354" w:right="1326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