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4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974" w:after="0"/>
        <w:ind w:left="576" w:right="432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Intégration Financière et Développement Inclusif : une </w:t>
      </w:r>
    </w:p>
    <w:p>
      <w:pPr>
        <w:sectPr>
          <w:pgSz w:w="11906" w:h="16838"/>
          <w:pgMar w:top="888" w:right="1278" w:bottom="1048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Gouverneur de la Banque d’Espagne, </w:t>
      </w:r>
    </w:p>
    <w:p>
      <w:pPr>
        <w:sectPr>
          <w:pgSz w:w="11906" w:h="16838"/>
          <w:pgMar w:top="990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Ainsi, nous avons mis en place en 2013 la Fondation Marocaine pour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 cet effet, nous avons travaillé avec l’Agence Nationale de Réglementation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1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C’est dans ce même esprit d’association et de coopération que nous essayons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4" w:firstLine="0"/>
        <w:jc w:val="both"/>
      </w:pPr>
      <w:r>
        <w:rPr>
          <w:rFonts w:ascii="Garamond" w:hAnsi="Garamond" w:eastAsia="Garamond"/>
          <w:b w:val="0"/>
          <w:i w:val="0"/>
        </w:rPr>
        <w:t xml:space="preserve">S’agissant de la protection des données personnelles, le Maroc a adhéré à la </w:t>
      </w:r>
    </w:p>
    <w:p>
      <w:pPr>
        <w:sectPr>
          <w:pgSz w:w="11906" w:h="16838"/>
          <w:pgMar w:top="1440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Dans ces conditions, tirant profit des apports technologiques, plusieurs </w:t>
      </w:r>
    </w:p>
    <w:p>
      <w:pPr>
        <w:sectPr>
          <w:pgSz w:w="11906" w:h="16838"/>
          <w:pgMar w:top="708" w:right="1320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0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Du côté sud de la méditerranée, nous consentons un important effort dans ce </w:t>
      </w:r>
    </w:p>
    <w:sectPr w:rsidR="00FC693F" w:rsidRPr="0006063C" w:rsidSect="00034616">
      <w:pgSz w:w="11906" w:h="16838"/>
      <w:pgMar w:top="1080" w:right="1320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