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504"/>
        <w:ind w:left="0" w:right="0"/>
      </w:pPr>
    </w:p>
    <w:p>
      <w:pPr>
        <w:autoSpaceDN w:val="0"/>
        <w:autoSpaceDE w:val="0"/>
        <w:widowControl/>
        <w:spacing w:line="254" w:lineRule="auto" w:before="0" w:after="0"/>
        <w:ind w:left="1058" w:right="506" w:firstLine="900"/>
        <w:jc w:val="both"/>
      </w:pPr>
      <w:r>
        <w:rPr>
          <w:rFonts w:ascii="Arial" w:hAnsi="Arial" w:eastAsia="Arial"/>
          <w:b w:val="0"/>
          <w:i w:val="0"/>
        </w:rPr>
        <w:t xml:space="preserve">Veuillez trouver ci-joint la communication de 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173" w:lineRule="auto" w:before="0" w:after="0"/>
        <w:ind w:left="0" w:right="1092" w:firstLine="0"/>
        <w:jc w:val="right"/>
      </w:pPr>
      <w:r>
        <w:rPr>
          <w:rFonts w:ascii="Arial,Bold" w:hAnsi="Arial,Bold" w:eastAsia="Arial,Bold"/>
          <w:b/>
          <w:i w:val="0"/>
        </w:rPr>
        <w:t xml:space="preserve">PRÉSENTATION DE MONSIEUR LE GOUVERNEUR </w:t>
      </w:r>
    </w:p>
    <w:p>
      <w:pPr>
        <w:sectPr>
          <w:pgSz w:w="11900" w:h="16840"/>
          <w:pgMar w:top="746" w:right="1324" w:bottom="114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80" w:right="20" w:firstLine="720"/>
        <w:jc w:val="both"/>
      </w:pPr>
      <w:r>
        <w:rPr>
          <w:rFonts w:ascii="TimesNewRoman" w:hAnsi="TimesNewRoman" w:eastAsia="TimesNewRoman"/>
          <w:b w:val="0"/>
          <w:i w:val="0"/>
        </w:rPr>
        <w:t xml:space="preserve">Le Maroc a eu à faire face à l’époque à des déficits des finances </w:t>
      </w:r>
    </w:p>
    <w:p>
      <w:pPr>
        <w:sectPr>
          <w:pgSz w:w="11900" w:h="16840"/>
          <w:pgMar w:top="722" w:right="1324" w:bottom="114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80" w:right="0" w:firstLine="720"/>
        <w:jc w:val="left"/>
      </w:pPr>
      <w:r>
        <w:rPr>
          <w:rFonts w:ascii="TimesNewRoman" w:hAnsi="TimesNewRoman" w:eastAsia="TimesNewRoman"/>
          <w:b w:val="0"/>
          <w:i w:val="0"/>
        </w:rPr>
        <w:t xml:space="preserve">Permettez-moi d’abord de rappeler que pendant les premières années </w:t>
      </w:r>
    </w:p>
    <w:p>
      <w:pPr>
        <w:sectPr>
          <w:pgSz w:w="11900" w:h="16840"/>
          <w:pgMar w:top="722" w:right="1324" w:bottom="114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80" w:right="20" w:firstLine="720"/>
        <w:jc w:val="both"/>
      </w:pPr>
      <w:r>
        <w:rPr>
          <w:rFonts w:ascii="TimesNewRoman" w:hAnsi="TimesNewRoman" w:eastAsia="TimesNewRoman"/>
          <w:b w:val="0"/>
          <w:i w:val="0"/>
        </w:rPr>
        <w:t xml:space="preserve">Dans le secteur bancaire, la réforme s’est traduite par le </w:t>
      </w:r>
    </w:p>
    <w:p>
      <w:pPr>
        <w:sectPr>
          <w:pgSz w:w="11900" w:h="16840"/>
          <w:pgMar w:top="722" w:right="1324" w:bottom="114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80" w:right="20" w:firstLine="720"/>
        <w:jc w:val="both"/>
      </w:pPr>
      <w:r>
        <w:rPr>
          <w:rFonts w:ascii="TimesNewRoman,Bold" w:hAnsi="TimesNewRoman,Bold" w:eastAsia="TimesNewRoman,Bold"/>
          <w:b/>
          <w:i w:val="0"/>
        </w:rPr>
        <w:t>.</w:t>
      </w:r>
    </w:p>
    <w:p>
      <w:pPr>
        <w:sectPr>
          <w:pgSz w:w="11900" w:h="16840"/>
          <w:pgMar w:top="716" w:right="1324" w:bottom="114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185" w:lineRule="auto" w:before="0" w:after="14"/>
        <w:ind w:left="1600" w:right="0" w:firstLine="0"/>
        <w:jc w:val="left"/>
      </w:pPr>
      <w:r>
        <w:rPr>
          <w:rFonts w:ascii="TimesNewRoman" w:hAnsi="TimesNewRoman" w:eastAsia="TimesNewRoman"/>
          <w:b w:val="0"/>
          <w:i w:val="0"/>
        </w:rPr>
        <w:t xml:space="preserve">Concernant Bank Al-Maghrib, outre la consécration de ses </w:t>
      </w:r>
    </w:p>
    <w:p>
      <w:pPr>
        <w:sectPr>
          <w:pgSz w:w="11900" w:h="16840"/>
          <w:pgMar w:top="722" w:right="1322" w:bottom="114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80" w:right="20" w:firstLine="720"/>
        <w:jc w:val="both"/>
      </w:pPr>
      <w:r>
        <w:rPr>
          <w:rFonts w:ascii="TimesNewRoman" w:hAnsi="TimesNewRoman" w:eastAsia="TimesNewRoman"/>
          <w:b w:val="0"/>
          <w:i w:val="0"/>
        </w:rPr>
        <w:t xml:space="preserve">Ces résultats ont été réalisés dans un cadre de libéralisation du régime </w:t>
      </w:r>
    </w:p>
    <w:p>
      <w:pPr>
        <w:sectPr>
          <w:pgSz w:w="11900" w:h="16840"/>
          <w:pgMar w:top="722" w:right="1324" w:bottom="114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tabs>
          <w:tab w:pos="1600" w:val="left"/>
        </w:tabs>
        <w:autoSpaceDE w:val="0"/>
        <w:widowControl/>
        <w:spacing w:line="245" w:lineRule="auto" w:before="0" w:after="0"/>
        <w:ind w:left="880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</w:rPr>
        <w:t xml:space="preserve">Concernant le projet de loi bancaire, il convient de relever </w:t>
      </w:r>
    </w:p>
    <w:p>
      <w:pPr>
        <w:sectPr>
          <w:pgSz w:w="11900" w:h="16840"/>
          <w:pgMar w:top="722" w:right="1322" w:bottom="114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80" w:right="22" w:firstLine="720"/>
        <w:jc w:val="both"/>
      </w:pPr>
      <w:r>
        <w:rPr>
          <w:rFonts w:ascii="TimesNewRoman" w:hAnsi="TimesNewRoman" w:eastAsia="TimesNewRoman"/>
          <w:b w:val="0"/>
          <w:i w:val="0"/>
        </w:rPr>
        <w:t xml:space="preserve">Le projet de la loi bancaire vise à ce que le Maroc s’inscrive dans le </w:t>
      </w:r>
    </w:p>
    <w:p>
      <w:pPr>
        <w:sectPr>
          <w:pgSz w:w="11900" w:h="16840"/>
          <w:pgMar w:top="722" w:right="1324" w:bottom="114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80" w:right="20" w:firstLine="720"/>
        <w:jc w:val="both"/>
      </w:pPr>
      <w:r>
        <w:rPr>
          <w:rFonts w:ascii="TimesNewRoman" w:hAnsi="TimesNewRoman" w:eastAsia="TimesNewRoman"/>
          <w:b w:val="0"/>
          <w:i w:val="0"/>
        </w:rPr>
        <w:t xml:space="preserve">5- Clarification des attributions de Bank Al-Maghrib en matière de </w:t>
      </w:r>
    </w:p>
    <w:p>
      <w:pPr>
        <w:sectPr>
          <w:pgSz w:w="11900" w:h="16840"/>
          <w:pgMar w:top="722" w:right="1324" w:bottom="114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80" w:right="20" w:firstLine="720"/>
        <w:jc w:val="both"/>
      </w:pPr>
      <w:r>
        <w:rPr>
          <w:rFonts w:ascii="TimesNewRoman" w:hAnsi="TimesNewRoman" w:eastAsia="TimesNewRoman"/>
          <w:b w:val="0"/>
          <w:i w:val="0"/>
        </w:rPr>
        <w:t xml:space="preserve">Le secteur bancaire est appelé lui aussi à faire sa mise à niveau. </w:t>
      </w:r>
    </w:p>
    <w:sectPr w:rsidR="00FC693F" w:rsidRPr="0006063C" w:rsidSect="00034616">
      <w:pgSz w:w="11900" w:h="16840"/>
      <w:pgMar w:top="722" w:right="1324" w:bottom="1144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