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1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</w:rPr>
        <w:t xml:space="preserve">Politiques économiques, intégration commerciale </w:t>
      </w:r>
    </w:p>
    <w:p>
      <w:pPr>
        <w:sectPr>
          <w:pgSz w:w="14400" w:h="10800"/>
          <w:pgMar w:top="1440" w:right="1240" w:bottom="38" w:left="11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432" w:right="0" w:firstLine="0"/>
        <w:jc w:val="left"/>
      </w:pPr>
      <w:r>
        <w:rPr>
          <w:rFonts w:ascii="Calibri" w:hAnsi="Calibri" w:eastAsia="Calibri"/>
          <w:b/>
          <w:i w:val="0"/>
        </w:rPr>
        <w:t>Plan</w:t>
      </w:r>
    </w:p>
    <w:p>
      <w:pPr>
        <w:sectPr>
          <w:pgSz w:w="14400" w:h="10800"/>
          <w:pgMar w:top="378" w:right="342" w:bottom="38" w:left="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510" w:right="0" w:firstLine="0"/>
        <w:jc w:val="left"/>
      </w:pPr>
      <w:r>
        <w:rPr>
          <w:rFonts w:ascii="Calibri" w:hAnsi="Calibri" w:eastAsia="Calibri"/>
          <w:b/>
          <w:i w:val="0"/>
        </w:rPr>
        <w:t xml:space="preserve">Introduction </w:t>
      </w:r>
    </w:p>
    <w:p>
      <w:pPr>
        <w:sectPr>
          <w:pgSz w:w="14400" w:h="10800"/>
          <w:pgMar w:top="282" w:right="230" w:bottom="38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228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70" w:bottom="38" w:left="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43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70" w:bottom="38" w:left="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96" w:lineRule="exact" w:before="0" w:after="0"/>
        <w:ind w:left="388" w:right="1584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72" w:bottom="38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96" w:lineRule="exact" w:before="0" w:after="0"/>
        <w:ind w:left="228" w:right="1296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428" w:bottom="38" w:left="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110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54" w:bottom="38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422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24" w:right="42" w:bottom="38" w:left="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388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0" w:bottom="38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33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0" w:bottom="38" w:left="1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47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72" w:bottom="38" w:left="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696" w:lineRule="exact" w:before="0" w:after="0"/>
        <w:ind w:left="360" w:right="1584" w:firstLine="0"/>
        <w:jc w:val="left"/>
      </w:pPr>
      <w:r>
        <w:rPr>
          <w:rFonts w:ascii="Arial,Bold" w:hAnsi="Arial,Bold" w:eastAsia="Arial,Bold"/>
          <w:b/>
          <w:i w:val="0"/>
        </w:rPr>
        <w:t xml:space="preserve">I. Les banques centrales dans le contexte de la crise </w:t>
      </w:r>
    </w:p>
    <w:p>
      <w:pPr>
        <w:sectPr>
          <w:pgSz w:w="14400" w:h="10800"/>
          <w:pgMar w:top="116" w:right="180" w:bottom="38" w:left="1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92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82" w:bottom="38" w:left="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12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56" w:bottom="38" w:left="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82" w:bottom="38" w:left="4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262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78" w:bottom="38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25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22" w:bottom="38" w:left="1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92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80" w:bottom="38" w:left="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206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II. Le contexte et les défis d’après crise </w:t>
      </w:r>
    </w:p>
    <w:p>
      <w:pPr>
        <w:sectPr>
          <w:pgSz w:w="14400" w:h="10800"/>
          <w:pgMar w:top="114" w:right="158" w:bottom="38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48" w:right="0" w:firstLine="0"/>
        <w:jc w:val="left"/>
      </w:pPr>
      <w:r>
        <w:rPr>
          <w:rFonts w:ascii="Calibri" w:hAnsi="Calibri" w:eastAsia="Calibri"/>
          <w:b/>
          <w:i w:val="0"/>
        </w:rPr>
        <w:t xml:space="preserve">Conclusion </w:t>
      </w:r>
    </w:p>
    <w:p>
      <w:pPr>
        <w:sectPr>
          <w:pgSz w:w="14400" w:h="10800"/>
          <w:pgMar w:top="340" w:right="92" w:bottom="38" w:left="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9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118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Merci pour votre attention </w:t>
      </w:r>
    </w:p>
    <w:sectPr w:rsidR="00FC693F" w:rsidRPr="0006063C" w:rsidSect="00034616">
      <w:pgSz w:w="14400" w:h="10800"/>
      <w:pgMar w:top="1440" w:right="182" w:bottom="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