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6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35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676400" cy="10960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0960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1988" w:after="1452"/>
        <w:ind w:left="0" w:right="0" w:firstLine="0"/>
        <w:jc w:val="center"/>
      </w:pPr>
      <w:r>
        <w:rPr>
          <w:rFonts w:ascii="Bookman Old Style" w:hAnsi="Bookman Old Style" w:eastAsia="Bookman Old Style"/>
          <w:b/>
          <w:i w:val="0"/>
        </w:rPr>
        <w:t xml:space="preserve"> Africa Meeting of the Econometric Society </w:t>
      </w:r>
    </w:p>
    <w:p>
      <w:pPr>
        <w:sectPr>
          <w:pgSz w:w="11906" w:h="16838"/>
          <w:pgMar w:top="888" w:right="1278" w:bottom="1432" w:left="137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Garamond" w:hAnsi="Garamond" w:eastAsia="Garamond"/>
          <w:b/>
          <w:i w:val="0"/>
        </w:rPr>
        <w:t xml:space="preserve">Honorables invités, </w:t>
      </w:r>
    </w:p>
    <w:p>
      <w:pPr>
        <w:sectPr>
          <w:pgSz w:w="11906" w:h="16838"/>
          <w:pgMar w:top="708" w:right="1320" w:bottom="266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31" w:lineRule="auto" w:before="0" w:after="0"/>
        <w:ind w:left="0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J’aimerais souligner que parmi toutes les rencontres scientifiques que nous </w:t>
      </w:r>
    </w:p>
    <w:p>
      <w:pPr>
        <w:sectPr>
          <w:pgSz w:w="11906" w:h="16838"/>
          <w:pgMar w:top="708" w:right="1320" w:bottom="266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43" w:lineRule="auto" w:before="0" w:after="0"/>
        <w:ind w:left="0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Dans un monde marqué par l’intensification de la concurrence et refaçonné </w:t>
      </w:r>
    </w:p>
    <w:p>
      <w:pPr>
        <w:sectPr>
          <w:pgSz w:w="11906" w:h="16838"/>
          <w:pgMar w:top="708" w:right="1320" w:bottom="266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43" w:lineRule="auto" w:before="0" w:after="0"/>
        <w:ind w:left="0" w:right="0" w:firstLine="0"/>
        <w:jc w:val="left"/>
      </w:pPr>
      <w:r>
        <w:rPr>
          <w:rFonts w:ascii="Garamond" w:hAnsi="Garamond" w:eastAsia="Garamond"/>
          <w:b w:val="0"/>
          <w:i w:val="0"/>
        </w:rPr>
        <w:t>Le premier, est lié à l’insuffisance de la connaissance des mécanismes sous-</w:t>
      </w:r>
    </w:p>
    <w:p>
      <w:pPr>
        <w:sectPr>
          <w:pgSz w:w="11906" w:h="16838"/>
          <w:pgMar w:top="708" w:right="1320" w:bottom="266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31" w:lineRule="auto" w:before="0" w:after="0"/>
        <w:ind w:left="0" w:right="22" w:firstLine="0"/>
        <w:jc w:val="both"/>
      </w:pPr>
      <w:r>
        <w:rPr>
          <w:rFonts w:ascii="Garamond" w:hAnsi="Garamond" w:eastAsia="Garamond"/>
          <w:b w:val="0"/>
          <w:i w:val="0"/>
        </w:rPr>
        <w:t xml:space="preserve">Outre nos publications institutionnelles, nous avons mis en place une série de </w:t>
      </w:r>
    </w:p>
    <w:p>
      <w:pPr>
        <w:sectPr>
          <w:pgSz w:w="11906" w:h="16838"/>
          <w:pgMar w:top="708" w:right="1320" w:bottom="266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36" w:lineRule="auto" w:before="0" w:after="0"/>
        <w:ind w:left="0" w:right="22" w:firstLine="0"/>
        <w:jc w:val="both"/>
      </w:pPr>
      <w:r>
        <w:rPr>
          <w:rFonts w:ascii="Garamond" w:hAnsi="Garamond" w:eastAsia="Garamond"/>
          <w:b w:val="0"/>
          <w:i w:val="0"/>
        </w:rPr>
        <w:t xml:space="preserve">Ceci devient d’autant plus déterminant que l’Afrique amorce aujourd’hui un </w:t>
      </w:r>
    </w:p>
    <w:sectPr w:rsidR="00FC693F" w:rsidRPr="0006063C" w:rsidSect="00034616">
      <w:pgSz w:w="11906" w:h="16838"/>
      <w:pgMar w:top="708" w:right="1320" w:bottom="266" w:left="14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