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746249" cy="1170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6249" cy="1170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1540" w:after="0"/>
        <w:ind w:left="0" w:right="0" w:firstLine="0"/>
        <w:jc w:val="center"/>
      </w:pPr>
      <w:r>
        <w:rPr>
          <w:rFonts w:ascii="Bookman Old Style" w:hAnsi="Bookman Old Style" w:eastAsia="Bookman Old Style"/>
          <w:b/>
          <w:i w:val="0"/>
        </w:rPr>
        <w:t xml:space="preserve">Journées Internationales de Macroéconomie et de Finance </w:t>
      </w:r>
    </w:p>
    <w:p>
      <w:pPr>
        <w:sectPr>
          <w:pgSz w:w="11906" w:h="16838"/>
          <w:pgMar w:top="888" w:right="1278" w:bottom="1262" w:left="13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Monsieur le ministre de l’Industrie et du Commerce,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22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On ne pouvait donc trouver meilleur lieu pour débattre du thème retenu, à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22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L’Afrique a pourtant un potentiel de développement énorme. Sa première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9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Mesdames et Messieurs, </w:t>
      </w:r>
    </w:p>
    <w:p>
      <w:pPr>
        <w:sectPr>
          <w:pgSz w:w="11906" w:h="16838"/>
          <w:pgMar w:top="1440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46"/>
        <w:gridCol w:w="1146"/>
        <w:gridCol w:w="1146"/>
        <w:gridCol w:w="1146"/>
        <w:gridCol w:w="1146"/>
        <w:gridCol w:w="1146"/>
        <w:gridCol w:w="1146"/>
        <w:gridCol w:w="1146"/>
      </w:tblGrid>
      <w:tr>
        <w:trPr>
          <w:trHeight w:hRule="exact" w:val="398"/>
        </w:trPr>
        <w:tc>
          <w:tcPr>
            <w:tcW w:type="dxa" w:w="21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</w:rPr>
              <w:t xml:space="preserve">Développement, </w:t>
            </w:r>
          </w:p>
        </w:tc>
        <w:tc>
          <w:tcPr>
            <w:tcW w:type="dxa" w:w="1146"/>
          </w:tcPr>
          <w:p/>
        </w:tc>
        <w:tc>
          <w:tcPr>
            <w:tcW w:type="dxa" w:w="1146"/>
          </w:tcPr>
          <w:p/>
        </w:tc>
        <w:tc>
          <w:tcPr>
            <w:tcW w:type="dxa" w:w="1146"/>
          </w:tcPr>
          <w:p/>
        </w:tc>
        <w:tc>
          <w:tcPr>
            <w:tcW w:type="dxa" w:w="1146"/>
          </w:tcPr>
          <w:p/>
        </w:tc>
        <w:tc>
          <w:tcPr>
            <w:tcW w:type="dxa" w:w="1146"/>
          </w:tcPr>
          <w:p/>
        </w:tc>
        <w:tc>
          <w:tcPr>
            <w:tcW w:type="dxa" w:w="1146"/>
          </w:tcPr>
          <w:p/>
        </w:tc>
        <w:tc>
          <w:tcPr>
            <w:tcW w:type="dxa" w:w="1146"/>
          </w:tcPr>
          <w:p/>
        </w:tc>
      </w:tr>
    </w:tbl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00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mondialisation et du libre-échange. Dans ce sens, on parle de relocalisation,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A ce titre, la proximité géographique et historique de l’Europe ne l’a pas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43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A Bank Al-Maghrib, nous nous sommes inscrits pour ce qui est de nos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22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VI à Abidjan en 2014, et les pays africains sont appelés à travailler ensemble </w:t>
      </w:r>
    </w:p>
    <w:sectPr w:rsidR="00FC693F" w:rsidRPr="0006063C" w:rsidSect="00034616">
      <w:pgSz w:w="11906" w:h="16838"/>
      <w:pgMar w:top="708" w:right="1322" w:bottom="262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