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644649" cy="9461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649" cy="946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9" w:lineRule="auto" w:before="3658" w:after="64"/>
        <w:ind w:left="820" w:right="0" w:firstLine="0"/>
        <w:jc w:val="left"/>
      </w:pPr>
      <w:r>
        <w:rPr>
          <w:rFonts w:ascii="BookAntiqua" w:hAnsi="BookAntiqua" w:eastAsia="BookAntiqua"/>
          <w:b/>
          <w:i w:val="0"/>
        </w:rPr>
        <w:t xml:space="preserve">Cérémonie de remise du Prix Bank Al-Maghrib pour la </w:t>
      </w:r>
    </w:p>
    <w:p>
      <w:pPr>
        <w:sectPr>
          <w:pgSz w:w="11906" w:h="16838"/>
          <w:pgMar w:top="990" w:right="626" w:bottom="484" w:left="6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0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Messieurs les Présidents d’universités, </w:t>
      </w:r>
    </w:p>
    <w:p>
      <w:pPr>
        <w:sectPr>
          <w:pgSz w:w="11906" w:h="16838"/>
          <w:pgMar w:top="690" w:right="1322" w:bottom="484" w:left="13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0"/>
        <w:ind w:left="0" w:right="0"/>
      </w:pPr>
    </w:p>
    <w:p>
      <w:pPr>
        <w:autoSpaceDN w:val="0"/>
        <w:autoSpaceDE w:val="0"/>
        <w:widowControl/>
        <w:spacing w:line="343" w:lineRule="auto" w:before="0" w:after="0"/>
        <w:ind w:left="3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Ce prix, comme nous l’avons annoncé lors de son lancement en juillet dernier, </w:t>
      </w:r>
    </w:p>
    <w:p>
      <w:pPr>
        <w:sectPr>
          <w:pgSz w:w="11906" w:h="16838"/>
          <w:pgMar w:top="690" w:right="1322" w:bottom="484" w:left="13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0"/>
        <w:ind w:left="0" w:right="0"/>
      </w:pPr>
    </w:p>
    <w:p>
      <w:pPr>
        <w:autoSpaceDN w:val="0"/>
        <w:autoSpaceDE w:val="0"/>
        <w:widowControl/>
        <w:spacing w:line="346" w:lineRule="auto" w:before="0" w:after="0"/>
        <w:ind w:left="3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et de la finance, a analysé le contenu des 20 travaux présélectionnés et a retenu </w:t>
      </w:r>
    </w:p>
    <w:p>
      <w:pPr>
        <w:sectPr>
          <w:pgSz w:w="11906" w:h="16838"/>
          <w:pgMar w:top="690" w:right="1322" w:bottom="484" w:left="13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0"/>
        <w:ind w:left="0" w:right="0"/>
      </w:pPr>
    </w:p>
    <w:p>
      <w:pPr>
        <w:autoSpaceDN w:val="0"/>
        <w:autoSpaceDE w:val="0"/>
        <w:widowControl/>
        <w:spacing w:line="34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thématiques prioritaires de recherche de notre institution. En parallèle et dans </w:t>
      </w:r>
    </w:p>
    <w:p>
      <w:pPr>
        <w:sectPr>
          <w:pgSz w:w="11906" w:h="16838"/>
          <w:pgMar w:top="690" w:right="1322" w:bottom="48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0"/>
        <w:ind w:left="0" w:right="0"/>
      </w:pPr>
    </w:p>
    <w:p>
      <w:pPr>
        <w:autoSpaceDN w:val="0"/>
        <w:autoSpaceDE w:val="0"/>
        <w:widowControl/>
        <w:spacing w:line="317" w:lineRule="auto" w:before="0" w:after="0"/>
        <w:ind w:left="3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octobre à Marrakech. Cette rencontre sera marquée par la participation de </w:t>
      </w:r>
    </w:p>
    <w:sectPr w:rsidR="00FC693F" w:rsidRPr="0006063C" w:rsidSect="00034616">
      <w:pgSz w:w="11906" w:h="16838"/>
      <w:pgMar w:top="690" w:right="1322" w:bottom="484" w:left="138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