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6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35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676400" cy="10960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96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982" w:after="0"/>
        <w:ind w:left="0" w:right="0" w:firstLine="0"/>
        <w:jc w:val="center"/>
      </w:pPr>
      <w:r>
        <w:rPr>
          <w:rFonts w:ascii="Bookman Old Style" w:hAnsi="Bookman Old Style" w:eastAsia="Bookman Old Style"/>
          <w:b/>
          <w:i w:val="0"/>
        </w:rPr>
        <w:t xml:space="preserve">Conférence de haut niveau de la BEAC </w:t>
      </w:r>
    </w:p>
    <w:p>
      <w:pPr>
        <w:sectPr>
          <w:pgSz w:w="11906" w:h="16838"/>
          <w:pgMar w:top="888" w:right="1278" w:bottom="1440" w:left="137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7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28" w:right="0" w:firstLine="0"/>
        <w:jc w:val="left"/>
      </w:pPr>
      <w:r>
        <w:rPr>
          <w:rFonts w:ascii="Garamond" w:hAnsi="Garamond" w:eastAsia="Garamond"/>
          <w:b/>
          <w:i w:val="0"/>
        </w:rPr>
        <w:t xml:space="preserve">Excellence, Monsieur le Chef du Gouvernement de la République du Cameroun </w:t>
      </w:r>
    </w:p>
    <w:p>
      <w:pPr>
        <w:sectPr>
          <w:pgSz w:w="11906" w:h="16838"/>
          <w:pgMar w:top="1294" w:right="1336" w:bottom="268" w:left="13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36" w:lineRule="auto" w:before="0" w:after="0"/>
        <w:ind w:left="28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Aujourd’hui, plusieurs pays luttent toujours et si certains semblent s’en remettre, les séquelles </w:t>
      </w:r>
    </w:p>
    <w:p>
      <w:pPr>
        <w:sectPr>
          <w:pgSz w:w="11906" w:h="16838"/>
          <w:pgMar w:top="708" w:right="1336" w:bottom="268" w:left="13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22" w:lineRule="auto" w:before="0" w:after="0"/>
        <w:ind w:left="28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production grâce au progrès technologique. La quête de certains grands producteurs de pétrole </w:t>
      </w:r>
    </w:p>
    <w:p>
      <w:pPr>
        <w:sectPr>
          <w:pgSz w:w="11906" w:h="16838"/>
          <w:pgMar w:top="708" w:right="1336" w:bottom="268" w:left="13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36" w:lineRule="auto" w:before="0" w:after="0"/>
        <w:ind w:left="28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De même, les pays avancés importateurs n’ont pas pu tirer pleinement profit de la baisse des prix </w:t>
      </w:r>
    </w:p>
    <w:p>
      <w:pPr>
        <w:sectPr>
          <w:pgSz w:w="11906" w:h="16838"/>
          <w:pgMar w:top="708" w:right="1336" w:bottom="268" w:left="13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31" w:lineRule="auto" w:before="0" w:after="0"/>
        <w:ind w:left="28" w:right="22" w:firstLine="0"/>
        <w:jc w:val="both"/>
      </w:pPr>
      <w:r>
        <w:rPr>
          <w:rFonts w:ascii="Garamond" w:hAnsi="Garamond" w:eastAsia="Garamond"/>
          <w:b w:val="0"/>
          <w:i w:val="0"/>
        </w:rPr>
        <w:t xml:space="preserve">datant d’octobre dernier, indiquent une certaine amélioration à moyen terme de l’activité, mais </w:t>
      </w:r>
    </w:p>
    <w:p>
      <w:pPr>
        <w:sectPr>
          <w:pgSz w:w="11906" w:h="16838"/>
          <w:pgMar w:top="708" w:right="1336" w:bottom="268" w:left="13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36" w:lineRule="auto" w:before="0" w:after="0"/>
        <w:ind w:left="28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De leur côté, les institutions internationales –dans la conjoncture actuelle— doivent faire </w:t>
      </w:r>
    </w:p>
    <w:sectPr w:rsidR="00FC693F" w:rsidRPr="0006063C" w:rsidSect="00034616">
      <w:pgSz w:w="11906" w:h="16838"/>
      <w:pgMar w:top="708" w:right="1336" w:bottom="268" w:left="138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