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86"/>
        <w:ind w:left="0" w:right="0"/>
      </w:pPr>
    </w:p>
    <w:p>
      <w:pPr>
        <w:autoSpaceDN w:val="0"/>
        <w:tabs>
          <w:tab w:pos="3654" w:val="left"/>
        </w:tabs>
        <w:autoSpaceDE w:val="0"/>
        <w:widowControl/>
        <w:spacing w:line="245" w:lineRule="auto" w:before="0" w:after="0"/>
        <w:ind w:left="1118" w:right="2160" w:firstLine="0"/>
        <w:jc w:val="left"/>
      </w:pPr>
      <w:r>
        <w:rPr>
          <w:rFonts w:ascii="Calibri" w:hAnsi="Calibri" w:eastAsia="Calibri"/>
          <w:b/>
          <w:i w:val="0"/>
        </w:rPr>
        <w:t xml:space="preserve">Bank Al-Maghrib et la situation de </w:t>
      </w:r>
    </w:p>
    <w:p>
      <w:pPr>
        <w:sectPr>
          <w:pgSz w:w="14400" w:h="10800"/>
          <w:pgMar w:top="1440" w:right="18" w:bottom="0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PLAN</w:t>
      </w:r>
    </w:p>
    <w:p>
      <w:pPr>
        <w:sectPr>
          <w:pgSz w:w="14400" w:h="10800"/>
          <w:pgMar w:top="402" w:right="18" w:bottom="0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Introduction</w:t>
      </w:r>
    </w:p>
    <w:p>
      <w:pPr>
        <w:sectPr>
          <w:pgSz w:w="14400" w:h="10800"/>
          <w:pgMar w:top="350" w:right="18" w:bottom="0" w:left="1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56"/>
        <w:ind w:left="0" w:right="0"/>
      </w:pPr>
    </w:p>
    <w:p>
      <w:pPr>
        <w:autoSpaceDN w:val="0"/>
        <w:tabs>
          <w:tab w:pos="3216" w:val="left"/>
        </w:tabs>
        <w:autoSpaceDE w:val="0"/>
        <w:widowControl/>
        <w:spacing w:line="276" w:lineRule="auto" w:before="0" w:after="3792"/>
        <w:ind w:left="1864" w:right="2880" w:firstLine="0"/>
        <w:jc w:val="left"/>
      </w:pPr>
      <w:r>
        <w:rPr>
          <w:rFonts w:ascii="Calibri" w:hAnsi="Calibri" w:eastAsia="Calibri"/>
          <w:b/>
          <w:i w:val="0"/>
        </w:rPr>
        <w:t xml:space="preserve">L’INVESTISSEMENT À TRAVERS LES </w:t>
      </w:r>
    </w:p>
    <w:p>
      <w:pPr>
        <w:sectPr>
          <w:pgSz w:w="14400" w:h="10800"/>
          <w:pgMar w:top="1440" w:right="18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/>
          <w:i w:val="0"/>
        </w:rPr>
        <w:t xml:space="preserve">I. L’investissement à travers les données des comptes nationaux 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I. L’investissement à travers les données des comptes nationaux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/>
          <w:i w:val="0"/>
        </w:rPr>
        <w:t xml:space="preserve">I. L’investissement à travers les données des comptes nationaux 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864" w:firstLine="0"/>
        <w:jc w:val="left"/>
      </w:pPr>
      <w:r>
        <w:rPr>
          <w:rFonts w:ascii="Calibri" w:hAnsi="Calibri" w:eastAsia="Calibri"/>
          <w:b/>
          <w:i w:val="0"/>
        </w:rPr>
        <w:t xml:space="preserve">I. L’investissement à travers les données des comptes nationaux </w:t>
      </w:r>
    </w:p>
    <w:p>
      <w:pPr>
        <w:sectPr>
          <w:pgSz w:w="14400" w:h="10800"/>
          <w:pgMar w:top="232" w:right="124" w:bottom="24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/>
          <w:i w:val="0"/>
        </w:rPr>
        <w:t xml:space="preserve">I. L’investissement à travers les données des comptes nationaux 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Calibri" w:hAnsi="Calibri" w:eastAsia="Calibri"/>
          <w:b/>
          <w:i w:val="0"/>
        </w:rPr>
        <w:t xml:space="preserve">I. L’investissement à travers les données des comptes nationaux </w:t>
      </w:r>
    </w:p>
    <w:p>
      <w:pPr>
        <w:sectPr>
          <w:pgSz w:w="14400" w:h="10800"/>
          <w:pgMar w:top="232" w:right="244" w:bottom="24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I. L’investissement à travers les données des comptes nationaux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Calibri" w:hAnsi="Calibri" w:eastAsia="Calibri"/>
          <w:b/>
          <w:i w:val="0"/>
        </w:rPr>
        <w:t xml:space="preserve">I. L’investissement à travers les données des comptes nationaux </w:t>
      </w:r>
    </w:p>
    <w:p>
      <w:pPr>
        <w:sectPr>
          <w:pgSz w:w="14400" w:h="10800"/>
          <w:pgMar w:top="232" w:right="292" w:bottom="24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30"/>
        <w:ind w:left="0" w:right="0"/>
      </w:pPr>
    </w:p>
    <w:p>
      <w:pPr>
        <w:autoSpaceDN w:val="0"/>
        <w:tabs>
          <w:tab w:pos="4168" w:val="left"/>
        </w:tabs>
        <w:autoSpaceDE w:val="0"/>
        <w:widowControl/>
        <w:spacing w:line="276" w:lineRule="auto" w:before="0" w:after="4020"/>
        <w:ind w:left="1784" w:right="3024" w:firstLine="0"/>
        <w:jc w:val="left"/>
      </w:pPr>
      <w:r>
        <w:rPr>
          <w:rFonts w:ascii="Calibri" w:hAnsi="Calibri" w:eastAsia="Calibri"/>
          <w:b/>
          <w:i w:val="0"/>
        </w:rPr>
        <w:t xml:space="preserve">L’INVESTISSEMENT AU NIVEAU DE </w:t>
      </w:r>
    </w:p>
    <w:p>
      <w:pPr>
        <w:sectPr>
          <w:pgSz w:w="14400" w:h="10800"/>
          <w:pgMar w:top="1440" w:right="18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290" w:bottom="24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II. L’investissement au niveau de l’entreprise</w:t>
      </w:r>
    </w:p>
    <w:p>
      <w:pPr>
        <w:sectPr>
          <w:pgSz w:w="14400" w:h="10800"/>
          <w:pgMar w:top="23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12"/>
        <w:ind w:left="0" w:right="0"/>
      </w:pPr>
    </w:p>
    <w:p>
      <w:pPr>
        <w:autoSpaceDN w:val="0"/>
        <w:tabs>
          <w:tab w:pos="3208" w:val="left"/>
        </w:tabs>
        <w:autoSpaceDE w:val="0"/>
        <w:widowControl/>
        <w:spacing w:line="276" w:lineRule="auto" w:before="0" w:after="4036"/>
        <w:ind w:left="24" w:right="1296" w:firstLine="0"/>
        <w:jc w:val="left"/>
      </w:pPr>
      <w:r>
        <w:rPr>
          <w:rFonts w:ascii="Calibri" w:hAnsi="Calibri" w:eastAsia="Calibri"/>
          <w:b/>
          <w:i w:val="0"/>
        </w:rPr>
        <w:t xml:space="preserve">LES MISSIONS DE BANK AL-MAGHRIB AU SERVICE </w:t>
      </w:r>
    </w:p>
    <w:p>
      <w:pPr>
        <w:sectPr>
          <w:pgSz w:w="14400" w:h="10800"/>
          <w:pgMar w:top="1440" w:right="18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0" w:firstLine="0"/>
        <w:jc w:val="left"/>
      </w:pPr>
      <w:r>
        <w:rPr>
          <w:rFonts w:ascii="Calibri" w:hAnsi="Calibri" w:eastAsia="Calibri"/>
          <w:b/>
          <w:i w:val="0"/>
        </w:rPr>
        <w:t xml:space="preserve">III. Les missions de BAM au service de l’investissement 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236" w:bottom="24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/>
          <w:i w:val="0"/>
        </w:rPr>
        <w:t xml:space="preserve">III. Les missions de BAM au service de l’investissement </w:t>
      </w:r>
    </w:p>
    <w:p>
      <w:pPr>
        <w:sectPr>
          <w:pgSz w:w="14400" w:h="10800"/>
          <w:pgMar w:top="266" w:right="290" w:bottom="24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238" w:bottom="24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III. Les missions de BAM au service de l’investissement</w:t>
      </w:r>
    </w:p>
    <w:p>
      <w:pPr>
        <w:sectPr>
          <w:pgSz w:w="14400" w:h="10800"/>
          <w:pgMar w:top="26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8"/>
        <w:ind w:left="0" w:right="0"/>
      </w:pPr>
    </w:p>
    <w:p>
      <w:pPr>
        <w:autoSpaceDN w:val="0"/>
        <w:autoSpaceDE w:val="0"/>
        <w:widowControl/>
        <w:spacing w:line="197" w:lineRule="auto" w:before="0" w:after="4710"/>
        <w:ind w:left="2164" w:right="0" w:firstLine="0"/>
        <w:jc w:val="left"/>
      </w:pPr>
      <w:r>
        <w:rPr>
          <w:rFonts w:ascii="Calibri" w:hAnsi="Calibri" w:eastAsia="Calibri"/>
          <w:b/>
          <w:i w:val="0"/>
        </w:rPr>
        <w:t>CONCLUSION ET PERSPECTIVES</w:t>
      </w:r>
    </w:p>
    <w:p>
      <w:pPr>
        <w:sectPr>
          <w:pgSz w:w="14400" w:h="10800"/>
          <w:pgMar w:top="1440" w:right="18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82" w:right="0" w:firstLine="0"/>
        <w:jc w:val="left"/>
      </w:pPr>
      <w:r>
        <w:rPr>
          <w:rFonts w:ascii="Calibri" w:hAnsi="Calibri" w:eastAsia="Calibri"/>
          <w:b/>
          <w:i w:val="0"/>
        </w:rPr>
        <w:t>Conclusion et perspectives</w:t>
      </w:r>
    </w:p>
    <w:p>
      <w:pPr>
        <w:sectPr>
          <w:pgSz w:w="14400" w:h="10800"/>
          <w:pgMar w:top="336" w:right="18" w:bottom="0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68" w:right="0" w:firstLine="0"/>
        <w:jc w:val="left"/>
      </w:pPr>
      <w:r>
        <w:rPr>
          <w:rFonts w:ascii="Calibri" w:hAnsi="Calibri" w:eastAsia="Calibri"/>
          <w:b/>
          <w:i w:val="0"/>
        </w:rPr>
        <w:t>Conclusion et perspectives</w:t>
      </w:r>
    </w:p>
    <w:p>
      <w:pPr>
        <w:sectPr>
          <w:pgSz w:w="14400" w:h="10800"/>
          <w:pgMar w:top="336" w:right="18" w:bottom="0" w:left="2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38" w:right="0" w:firstLine="0"/>
        <w:jc w:val="left"/>
      </w:pPr>
      <w:r>
        <w:rPr>
          <w:rFonts w:ascii="Calibri" w:hAnsi="Calibri" w:eastAsia="Calibri"/>
          <w:b/>
          <w:i w:val="0"/>
        </w:rPr>
        <w:t>Conclusion et perspectives</w:t>
      </w:r>
    </w:p>
    <w:p>
      <w:pPr>
        <w:sectPr>
          <w:pgSz w:w="14400" w:h="10800"/>
          <w:pgMar w:top="33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8"/>
        <w:ind w:left="0" w:right="0"/>
      </w:pPr>
    </w:p>
    <w:p>
      <w:pPr>
        <w:autoSpaceDN w:val="0"/>
        <w:autoSpaceDE w:val="0"/>
        <w:widowControl/>
        <w:spacing w:line="197" w:lineRule="auto" w:before="0" w:after="4710"/>
        <w:ind w:left="2022" w:right="0" w:firstLine="0"/>
        <w:jc w:val="left"/>
      </w:pPr>
      <w:r>
        <w:rPr>
          <w:rFonts w:ascii="Calibri" w:hAnsi="Calibri" w:eastAsia="Calibri"/>
          <w:b/>
          <w:i w:val="0"/>
        </w:rPr>
        <w:t>MERCI POUR VOTRE ATTENTION</w:t>
      </w:r>
    </w:p>
    <w:sectPr w:rsidR="00FC693F" w:rsidRPr="0006063C" w:rsidSect="00034616">
      <w:pgSz w:w="14400" w:h="10800"/>
      <w:pgMar w:top="1440" w:right="18" w:bottom="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