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Garamond" w:hAnsi="Garamond" w:eastAsia="Garamond"/>
          <w:b/>
          <w:i w:val="0"/>
        </w:rPr>
        <w:t xml:space="preserve">Rabat le 8 décembre 2017 </w:t>
      </w:r>
    </w:p>
    <w:p>
      <w:pPr>
        <w:sectPr>
          <w:pgSz w:w="11906" w:h="16838"/>
          <w:pgMar w:top="766" w:right="1278" w:bottom="264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Mr le Vice-Président de la BEI, </w:t>
      </w:r>
    </w:p>
    <w:p>
      <w:pPr>
        <w:sectPr>
          <w:pgSz w:w="11906" w:h="16838"/>
          <w:pgMar w:top="706" w:right="1326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8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Cette enquête représente une source précieuse d’informations pour mieux </w:t>
      </w:r>
    </w:p>
    <w:p>
      <w:pPr>
        <w:sectPr>
          <w:pgSz w:w="11906" w:h="16838"/>
          <w:pgMar w:top="708" w:right="1326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83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>Cette situation reflète également l’incapacité</w:t>
      </w:r>
    </w:p>
    <w:p>
      <w:pPr>
        <w:sectPr>
          <w:pgSz w:w="11906" w:h="16838"/>
          <w:pgMar w:top="718" w:right="1324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Pour ce qui est des stratégies sectorielles, en dépit de la dynamique du secteur </w:t>
      </w:r>
    </w:p>
    <w:p>
      <w:pPr>
        <w:sectPr>
          <w:pgSz w:w="11906" w:h="16838"/>
          <w:pgMar w:top="708" w:right="1326" w:bottom="26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la banque mondiale, le Maroc pourrait sensiblement améliorer l’environnement des </w:t>
      </w:r>
    </w:p>
    <w:sectPr w:rsidR="00FC693F" w:rsidRPr="0006063C" w:rsidSect="00034616">
      <w:pgSz w:w="11906" w:h="16838"/>
      <w:pgMar w:top="708" w:right="1326" w:bottom="264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