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831339" cy="12471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339" cy="1247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1768" w:after="0"/>
        <w:ind w:left="0" w:right="0" w:firstLine="0"/>
        <w:jc w:val="center"/>
      </w:pPr>
      <w:r>
        <w:rPr>
          <w:rFonts w:ascii="" w:hAnsi="" w:eastAsia=""/>
          <w:b/>
          <w:i w:val="0"/>
        </w:rPr>
        <w:t>5</w:t>
      </w:r>
    </w:p>
    <w:p>
      <w:pPr>
        <w:sectPr>
          <w:pgSz w:w="11900" w:h="16840"/>
          <w:pgMar w:top="708" w:right="1390" w:bottom="10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7709" cy="7150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709" cy="715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auto" w:before="928" w:after="0"/>
        <w:ind w:left="108" w:right="0" w:firstLine="0"/>
        <w:jc w:val="left"/>
      </w:pPr>
      <w:r>
        <w:rPr>
          <w:rFonts w:ascii="" w:hAnsi="" w:eastAsia=""/>
          <w:b/>
          <w:i w:val="0"/>
        </w:rPr>
        <w:t xml:space="preserve">Mesdames, Messieurs, </w:t>
      </w:r>
    </w:p>
    <w:p>
      <w:pPr>
        <w:sectPr>
          <w:pgSz w:w="11900" w:h="16840"/>
          <w:pgMar w:top="300" w:right="1282" w:bottom="290" w:left="13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0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5169" cy="7137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169" cy="713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4" w:lineRule="auto" w:before="662" w:after="0"/>
        <w:ind w:left="108" w:right="68" w:firstLine="0"/>
        <w:jc w:val="both"/>
      </w:pPr>
      <w:r>
        <w:rPr>
          <w:rFonts w:ascii="" w:hAnsi="" w:eastAsia=""/>
          <w:b w:val="0"/>
          <w:i w:val="0"/>
        </w:rPr>
        <w:t xml:space="preserve">Aussi, est-il important pour l’ensemble de ces intervenants d’être à l’état de l’art dans ce domaine, </w:t>
      </w:r>
    </w:p>
    <w:p>
      <w:pPr>
        <w:sectPr>
          <w:pgSz w:w="11900" w:h="16840"/>
          <w:pgMar w:top="418" w:right="1282" w:bottom="290" w:left="13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5170" cy="7150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15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8" w:lineRule="auto" w:before="630" w:after="0"/>
        <w:ind w:left="108" w:right="68" w:firstLine="0"/>
        <w:jc w:val="both"/>
      </w:pPr>
      <w:r>
        <w:rPr>
          <w:rFonts w:ascii="" w:hAnsi="" w:eastAsia=""/>
          <w:b w:val="0"/>
          <w:i w:val="0"/>
        </w:rPr>
        <w:t xml:space="preserve">Cette stratégie qui a été arrêtée à la fin de la précédente décennie ambitionne de faire de notre </w:t>
      </w:r>
    </w:p>
    <w:p>
      <w:pPr>
        <w:sectPr>
          <w:pgSz w:w="11900" w:h="16840"/>
          <w:pgMar w:top="350" w:right="1282" w:bottom="290" w:left="13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3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5170" cy="7150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15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auto" w:before="790" w:after="0"/>
        <w:ind w:left="108" w:right="68" w:firstLine="0"/>
        <w:jc w:val="both"/>
      </w:pPr>
      <w:r>
        <w:rPr>
          <w:rFonts w:ascii="" w:hAnsi="" w:eastAsia=""/>
          <w:b w:val="0"/>
          <w:i w:val="0"/>
        </w:rPr>
        <w:t xml:space="preserve">Aujourd’hui, cette base enregistre environ 5 millions de clients dont environ 200.000 entreprises </w:t>
      </w:r>
    </w:p>
    <w:p>
      <w:pPr>
        <w:sectPr>
          <w:pgSz w:w="11900" w:h="16840"/>
          <w:pgMar w:top="352" w:right="1282" w:bottom="290" w:left="13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3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6439" cy="7150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6439" cy="715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auto" w:before="412" w:after="0"/>
        <w:ind w:left="108" w:right="68" w:firstLine="0"/>
        <w:jc w:val="both"/>
      </w:pPr>
      <w:r>
        <w:rPr>
          <w:rFonts w:ascii="" w:hAnsi="" w:eastAsia=""/>
          <w:b w:val="0"/>
          <w:i w:val="0"/>
        </w:rPr>
        <w:t xml:space="preserve">D’autre part, le gouvernement a engagé, en concertation avec les partenaires concernés et avec </w:t>
      </w:r>
    </w:p>
    <w:p>
      <w:pPr>
        <w:sectPr>
          <w:pgSz w:w="11900" w:h="16840"/>
          <w:pgMar w:top="300" w:right="1282" w:bottom="290" w:left="13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7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5169" cy="7137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169" cy="713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8" w:lineRule="auto" w:before="528" w:after="0"/>
        <w:ind w:left="108" w:right="68" w:firstLine="0"/>
        <w:jc w:val="both"/>
      </w:pPr>
      <w:r>
        <w:rPr>
          <w:rFonts w:ascii="" w:hAnsi="" w:eastAsia=""/>
          <w:b w:val="0"/>
          <w:i w:val="0"/>
        </w:rPr>
        <w:t xml:space="preserve">En parallèle à ces actions, nous veillons au strict  respect de la réglementation en vigueur en </w:t>
      </w:r>
    </w:p>
    <w:sectPr w:rsidR="00FC693F" w:rsidRPr="0006063C" w:rsidSect="00034616">
      <w:pgSz w:w="11900" w:h="16840"/>
      <w:pgMar w:top="418" w:right="1282" w:bottom="290" w:left="131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