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50950" cy="79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79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82" w:after="0"/>
        <w:ind w:left="0" w:right="0" w:firstLine="0"/>
        <w:jc w:val="center"/>
      </w:pPr>
      <w:r>
        <w:rPr>
          <w:rFonts w:ascii="Calibri" w:hAnsi="Calibri" w:eastAsia="Calibri"/>
          <w:b/>
          <w:i w:val="0"/>
        </w:rPr>
        <w:t xml:space="preserve">SYMPOSIUM REGIONAL DE HAUT NIVEAU </w:t>
      </w:r>
    </w:p>
    <w:p>
      <w:pPr>
        <w:sectPr>
          <w:pgSz w:w="11906" w:h="16838"/>
          <w:pgMar w:top="354" w:right="1366" w:bottom="956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08" w:right="0" w:firstLine="0"/>
        <w:jc w:val="left"/>
      </w:pPr>
      <w:r>
        <w:rPr>
          <w:rFonts w:ascii="Bookman Old Style" w:hAnsi="Bookman Old Style" w:eastAsia="Bookman Old Style"/>
          <w:b/>
          <w:i w:val="0"/>
        </w:rPr>
        <w:t xml:space="preserve">Monsieur le Gouverneur de la Banque Nationale du Rwanda et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0" w:lineRule="auto" w:before="0" w:after="16"/>
        <w:ind w:left="0" w:right="0" w:firstLine="0"/>
        <w:jc w:val="center"/>
      </w:pPr>
      <w:r>
        <w:rPr>
          <w:rFonts w:ascii="Bookman Old Style" w:hAnsi="Bookman Old Style" w:eastAsia="Bookman Old Style"/>
          <w:b w:val="0"/>
          <w:i w:val="0"/>
        </w:rPr>
        <w:t xml:space="preserve">Je remercie aussi pour leur présence les éminents experts du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08" w:right="38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L’intégration financière en Afrique, si elle comporte des avantages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7" w:lineRule="auto" w:before="0" w:after="16"/>
        <w:ind w:left="108" w:right="40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Les risques induits par ces technologies disruptives se sont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108" w:right="38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Par ailleurs, la dernière crise financière de 2008 a révélé la </w:t>
      </w:r>
    </w:p>
    <w:sectPr w:rsidR="00FC693F" w:rsidRPr="0006063C" w:rsidSect="00034616">
      <w:pgSz w:w="11906" w:h="16838"/>
      <w:pgMar w:top="720" w:right="1288" w:bottom="478" w:left="13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