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00"/>
        <w:ind w:left="0" w:right="0"/>
      </w:pPr>
    </w:p>
    <w:p>
      <w:pPr>
        <w:autoSpaceDN w:val="0"/>
        <w:autoSpaceDE w:val="0"/>
        <w:widowControl/>
        <w:spacing w:line="408" w:lineRule="auto" w:before="0" w:after="0"/>
        <w:ind w:left="1440" w:right="2736" w:firstLine="0"/>
        <w:jc w:val="center"/>
      </w:pPr>
      <w:r>
        <w:rPr>
          <w:rFonts w:ascii="Simplified Arabic" w:hAnsi="Simplified Arabic" w:eastAsia="Simplified Arabic"/>
          <w:b/>
          <w:i w:val="0"/>
        </w:rPr>
        <w:t xml:space="preserve">Problématique de l’inflation </w:t>
      </w:r>
    </w:p>
    <w:p>
      <w:pPr>
        <w:sectPr>
          <w:pgSz w:w="14400" w:h="10800"/>
          <w:pgMar w:top="1440" w:right="18" w:bottom="0" w:left="138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194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Plan</w:t>
      </w:r>
    </w:p>
    <w:p>
      <w:pPr>
        <w:sectPr>
          <w:pgSz w:w="14400" w:h="10800"/>
          <w:pgMar w:top="212" w:right="0" w:bottom="0" w:left="31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864" w:firstLine="0"/>
        <w:jc w:val="left"/>
      </w:pPr>
      <w:r>
        <w:rPr>
          <w:rFonts w:ascii="Garamond" w:hAnsi="Garamond" w:eastAsia="Garamond"/>
          <w:b/>
          <w:i w:val="0"/>
        </w:rPr>
        <w:t>I. Maintien de la stabilité des prix : principal objectif d</w:t>
      </w:r>
    </w:p>
    <w:p>
      <w:pPr>
        <w:sectPr>
          <w:pgSz w:w="14400" w:h="10800"/>
          <w:pgMar w:top="258" w:right="0" w:bottom="0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864" w:firstLine="0"/>
        <w:jc w:val="left"/>
      </w:pPr>
      <w:r>
        <w:rPr>
          <w:rFonts w:ascii="Garamond" w:hAnsi="Garamond" w:eastAsia="Garamond"/>
          <w:b/>
          <w:i w:val="0"/>
        </w:rPr>
        <w:t>I. Maintien de la stabilité des prix : principal objectif d</w:t>
      </w:r>
    </w:p>
    <w:p>
      <w:pPr>
        <w:sectPr>
          <w:pgSz w:w="14400" w:h="10800"/>
          <w:pgMar w:top="258" w:right="0" w:bottom="0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II. Processus de prise de décision à BAM</w:t>
      </w:r>
    </w:p>
    <w:p>
      <w:pPr>
        <w:sectPr>
          <w:pgSz w:w="14400" w:h="10800"/>
          <w:pgMar w:top="258" w:right="0" w:bottom="0" w:left="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340" w:val="left"/>
        </w:tabs>
        <w:autoSpaceDE w:val="0"/>
        <w:widowControl/>
        <w:spacing w:line="269" w:lineRule="auto" w:before="0" w:after="0"/>
        <w:ind w:left="0" w:right="3744" w:firstLine="0"/>
        <w:jc w:val="left"/>
      </w:pPr>
      <w:r>
        <w:rPr>
          <w:rFonts w:ascii="Garamond" w:hAnsi="Garamond" w:eastAsia="Garamond"/>
          <w:b/>
          <w:i w:val="0"/>
        </w:rPr>
        <w:t xml:space="preserve">II. Processus de prise de décision à BAM </w:t>
      </w:r>
    </w:p>
    <w:p>
      <w:pPr>
        <w:sectPr>
          <w:pgSz w:w="14400" w:h="10800"/>
          <w:pgMar w:top="258" w:right="388" w:bottom="24" w:left="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340" w:val="left"/>
        </w:tabs>
        <w:autoSpaceDE w:val="0"/>
        <w:widowControl/>
        <w:spacing w:line="269" w:lineRule="auto" w:before="0" w:after="0"/>
        <w:ind w:left="0" w:right="4176" w:firstLine="0"/>
        <w:jc w:val="left"/>
      </w:pPr>
      <w:r>
        <w:rPr>
          <w:rFonts w:ascii="Garamond" w:hAnsi="Garamond" w:eastAsia="Garamond"/>
          <w:b/>
          <w:i w:val="0"/>
        </w:rPr>
        <w:t xml:space="preserve">II. Processus de prise de décision à BAM </w:t>
      </w:r>
    </w:p>
    <w:p>
      <w:pPr>
        <w:sectPr>
          <w:pgSz w:w="14400" w:h="10800"/>
          <w:pgMar w:top="258" w:right="0" w:bottom="0" w:left="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340" w:val="left"/>
        </w:tabs>
        <w:autoSpaceDE w:val="0"/>
        <w:widowControl/>
        <w:spacing w:line="269" w:lineRule="auto" w:before="0" w:after="994"/>
        <w:ind w:left="0" w:right="4032" w:firstLine="0"/>
        <w:jc w:val="left"/>
      </w:pPr>
      <w:r>
        <w:rPr>
          <w:rFonts w:ascii="Garamond" w:hAnsi="Garamond" w:eastAsia="Garamond"/>
          <w:b/>
          <w:i w:val="0"/>
        </w:rPr>
        <w:t xml:space="preserve">II. Processus de prise de décision à BAM </w:t>
      </w:r>
    </w:p>
    <w:p>
      <w:pPr>
        <w:sectPr>
          <w:pgSz w:w="14400" w:h="10800"/>
          <w:pgMar w:top="258" w:right="178" w:bottom="48" w:left="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II. Processus de prise de décision à BAM</w:t>
      </w:r>
    </w:p>
    <w:p>
      <w:pPr>
        <w:sectPr>
          <w:pgSz w:w="14400" w:h="10800"/>
          <w:pgMar w:top="258" w:right="178" w:bottom="48" w:left="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II. Processus de prise de décision à BAM</w:t>
      </w:r>
    </w:p>
    <w:p>
      <w:pPr>
        <w:sectPr>
          <w:pgSz w:w="14400" w:h="10800"/>
          <w:pgMar w:top="258" w:right="118" w:bottom="48" w:left="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594" w:val="left"/>
        </w:tabs>
        <w:autoSpaceDE w:val="0"/>
        <w:widowControl/>
        <w:spacing w:line="269" w:lineRule="auto" w:before="0" w:after="0"/>
        <w:ind w:left="0" w:right="720" w:firstLine="0"/>
        <w:jc w:val="left"/>
      </w:pPr>
      <w:r>
        <w:rPr>
          <w:rFonts w:ascii="Garamond" w:hAnsi="Garamond" w:eastAsia="Garamond"/>
          <w:b/>
          <w:i w:val="0"/>
        </w:rPr>
        <w:t xml:space="preserve">II. Processus de prise de décision à BAM </w:t>
      </w:r>
    </w:p>
    <w:p>
      <w:pPr>
        <w:sectPr>
          <w:pgSz w:w="14400" w:h="10800"/>
          <w:pgMar w:top="258" w:right="118" w:bottom="48" w:left="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516" w:after="0"/>
        <w:ind w:left="48" w:right="0" w:firstLine="0"/>
        <w:jc w:val="left"/>
      </w:pPr>
      <w:r>
        <w:rPr>
          <w:rFonts w:ascii="Garamond" w:hAnsi="Garamond" w:eastAsia="Garamond"/>
          <w:b/>
          <w:i w:val="0"/>
        </w:rPr>
        <w:t>II. Processus de prise de décision à BAM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516" w:after="0"/>
        <w:ind w:left="48" w:right="0" w:firstLine="0"/>
        <w:jc w:val="left"/>
      </w:pPr>
      <w:r>
        <w:rPr>
          <w:rFonts w:ascii="Garamond" w:hAnsi="Garamond" w:eastAsia="Garamond"/>
          <w:b/>
          <w:i w:val="0"/>
        </w:rPr>
        <w:t>II. Processus de prise de décision à BAM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296" w:after="0"/>
        <w:ind w:left="48" w:right="0" w:firstLine="0"/>
        <w:jc w:val="left"/>
      </w:pPr>
      <w:r>
        <w:rPr>
          <w:rFonts w:ascii="Garamond" w:hAnsi="Garamond" w:eastAsia="Garamond"/>
          <w:b/>
          <w:i w:val="0"/>
        </w:rPr>
        <w:t>II. Processus de prise de décision à BAM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516" w:after="0"/>
        <w:ind w:left="48" w:right="0" w:firstLine="0"/>
        <w:jc w:val="left"/>
      </w:pPr>
      <w:r>
        <w:rPr>
          <w:rFonts w:ascii="Garamond" w:hAnsi="Garamond" w:eastAsia="Garamond"/>
          <w:b/>
          <w:i w:val="0"/>
        </w:rPr>
        <w:t>II. Processus de prise de décision à BAM</w:t>
      </w:r>
    </w:p>
    <w:p>
      <w:pPr>
        <w:sectPr>
          <w:pgSz w:w="14400" w:h="1080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III. Mesure de l’inflation : Principaux défis</w:t>
      </w:r>
    </w:p>
    <w:p>
      <w:pPr>
        <w:sectPr>
          <w:pgSz w:w="14400" w:h="10800"/>
          <w:pgMar w:top="328" w:right="18" w:bottom="0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0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88" w:right="0" w:firstLine="0"/>
        <w:jc w:val="left"/>
      </w:pPr>
      <w:r>
        <w:rPr>
          <w:rFonts w:ascii="Garamond" w:hAnsi="Garamond" w:eastAsia="Garamond"/>
          <w:b/>
          <w:i w:val="0"/>
        </w:rPr>
        <w:t>III. Mesure de l’inflation : Principaux défis</w:t>
      </w:r>
    </w:p>
    <w:p>
      <w:pPr>
        <w:sectPr>
          <w:pgSz w:w="14400" w:h="10800"/>
          <w:pgMar w:top="328" w:right="206" w:bottom="24" w:left="1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8" w:right="0" w:firstLine="0"/>
        <w:jc w:val="left"/>
      </w:pPr>
      <w:r>
        <w:rPr>
          <w:rFonts w:ascii="Garamond" w:hAnsi="Garamond" w:eastAsia="Garamond"/>
          <w:b/>
          <w:i w:val="0"/>
        </w:rPr>
        <w:t>III. Mesure de l’inflation : Principaux défis</w:t>
      </w:r>
    </w:p>
    <w:p>
      <w:pPr>
        <w:sectPr>
          <w:pgSz w:w="14400" w:h="10800"/>
          <w:pgMar w:top="330" w:right="216" w:bottom="24" w:left="3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III. Mesure de l’inflation : Principaux défis</w:t>
      </w:r>
    </w:p>
    <w:p>
      <w:pPr>
        <w:sectPr>
          <w:pgSz w:w="14400" w:h="10800"/>
          <w:pgMar w:top="312" w:right="18" w:bottom="0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III. Mesure de l’inflation : Principaux défis</w:t>
      </w:r>
    </w:p>
    <w:p>
      <w:pPr>
        <w:sectPr>
          <w:pgSz w:w="14400" w:h="10800"/>
          <w:pgMar w:top="292" w:right="18" w:bottom="0" w:left="27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0" w:lineRule="exact" w:before="0" w:after="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2448" w:firstLine="0"/>
        <w:jc w:val="left"/>
      </w:pPr>
      <w:r>
        <w:rPr>
          <w:rFonts w:ascii="Garamond" w:hAnsi="Garamond" w:eastAsia="Garamond"/>
          <w:b/>
          <w:i w:val="0"/>
        </w:rPr>
        <w:t xml:space="preserve">IV. Mesures retenues pour le suivi de l’inflation à </w:t>
      </w:r>
    </w:p>
    <w:p>
      <w:pPr>
        <w:sectPr>
          <w:pgSz w:w="14400" w:h="10800"/>
          <w:pgMar w:top="202" w:right="18" w:bottom="0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2448" w:firstLine="0"/>
        <w:jc w:val="left"/>
      </w:pPr>
      <w:r>
        <w:rPr>
          <w:rFonts w:ascii="Garamond" w:hAnsi="Garamond" w:eastAsia="Garamond"/>
          <w:b/>
          <w:i w:val="0"/>
        </w:rPr>
        <w:t xml:space="preserve">IV. Mesures retenues pour le suivi de l’inflation à </w:t>
      </w:r>
    </w:p>
    <w:p>
      <w:pPr>
        <w:sectPr>
          <w:pgSz w:w="14400" w:h="10800"/>
          <w:pgMar w:top="258" w:right="18" w:bottom="0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58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IV. Mesures retenues pour le suivi de l’inflation à </w:t>
      </w:r>
    </w:p>
    <w:p>
      <w:pPr>
        <w:sectPr>
          <w:pgSz w:w="14400" w:h="10800"/>
          <w:pgMar w:top="158" w:right="146" w:bottom="24" w:left="18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2448" w:firstLine="0"/>
        <w:jc w:val="left"/>
      </w:pPr>
      <w:r>
        <w:rPr>
          <w:rFonts w:ascii="Garamond" w:hAnsi="Garamond" w:eastAsia="Garamond"/>
          <w:b/>
          <w:i w:val="0"/>
        </w:rPr>
        <w:t xml:space="preserve">IV. Mesures retenues pour le suivi de l’inflation à </w:t>
      </w:r>
    </w:p>
    <w:p>
      <w:pPr>
        <w:sectPr>
          <w:pgSz w:w="14400" w:h="10800"/>
          <w:pgMar w:top="258" w:right="18" w:bottom="0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tabs>
          <w:tab w:pos="114" w:val="left"/>
          <w:tab w:pos="564" w:val="left"/>
        </w:tabs>
        <w:autoSpaceDE w:val="0"/>
        <w:widowControl/>
        <w:spacing w:line="269" w:lineRule="auto" w:before="0" w:after="0"/>
        <w:ind w:left="0" w:right="288" w:firstLine="0"/>
        <w:jc w:val="left"/>
      </w:pPr>
      <w:r>
        <w:rPr>
          <w:rFonts w:ascii="Garamond" w:hAnsi="Garamond" w:eastAsia="Garamond"/>
          <w:b/>
          <w:i w:val="0"/>
        </w:rPr>
        <w:t xml:space="preserve">IV. Mesures retenues pour le suivi de l’inflation à </w:t>
      </w:r>
    </w:p>
    <w:p>
      <w:pPr>
        <w:sectPr>
          <w:pgSz w:w="14400" w:h="10800"/>
          <w:pgMar w:top="258" w:right="18" w:bottom="0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8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2448" w:firstLine="0"/>
        <w:jc w:val="left"/>
      </w:pPr>
      <w:r>
        <w:rPr>
          <w:rFonts w:ascii="Garamond" w:hAnsi="Garamond" w:eastAsia="Garamond"/>
          <w:b/>
          <w:i w:val="0"/>
        </w:rPr>
        <w:t xml:space="preserve">IV. Mesures retenues pour le suivi de l’inflation à </w:t>
      </w:r>
    </w:p>
    <w:p>
      <w:pPr>
        <w:sectPr>
          <w:pgSz w:w="14400" w:h="10800"/>
          <w:pgMar w:top="258" w:right="18" w:bottom="0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 xml:space="preserve">IV. Mesures retenues pour le suivi de l’inflation à </w:t>
      </w:r>
    </w:p>
    <w:p>
      <w:pPr>
        <w:sectPr>
          <w:pgSz w:w="14400" w:h="10800"/>
          <w:pgMar w:top="224" w:right="372" w:bottom="24" w:left="1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V. Décalage entre la mesure et la perception de  l’inflat</w:t>
      </w:r>
    </w:p>
    <w:p>
      <w:pPr>
        <w:sectPr>
          <w:pgSz w:w="14400" w:h="10800"/>
          <w:pgMar w:top="404" w:right="18" w:bottom="0" w:left="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V. Décalage entre la mesure et la perception de  l’inflat</w:t>
      </w:r>
    </w:p>
    <w:p>
      <w:pPr>
        <w:sectPr>
          <w:pgSz w:w="14400" w:h="10800"/>
          <w:pgMar w:top="404" w:right="18" w:bottom="0" w:left="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V. Décalage entre la mesure et la perception de  l’inflat</w:t>
      </w:r>
    </w:p>
    <w:p>
      <w:pPr>
        <w:sectPr>
          <w:pgSz w:w="14400" w:h="10800"/>
          <w:pgMar w:top="404" w:right="18" w:bottom="0" w:left="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V. Décalage entre la mesure et la perception de  l’inflat</w:t>
      </w:r>
    </w:p>
    <w:p>
      <w:pPr>
        <w:sectPr>
          <w:pgSz w:w="14400" w:h="10800"/>
          <w:pgMar w:top="404" w:right="18" w:bottom="0" w:left="5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VI. Evolution de l’inflation au Maroc</w:t>
      </w:r>
    </w:p>
    <w:p>
      <w:pPr>
        <w:sectPr>
          <w:pgSz w:w="14400" w:h="10800"/>
          <w:pgMar w:top="21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6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VI. Evolution de l’inflation au Maroc</w:t>
      </w:r>
    </w:p>
    <w:p>
      <w:pPr>
        <w:sectPr>
          <w:pgSz w:w="14400" w:h="10800"/>
          <w:pgMar w:top="204" w:right="18" w:bottom="0" w:left="29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VI. Evolution de l’inflation au Maroc</w:t>
      </w:r>
    </w:p>
    <w:p>
      <w:pPr>
        <w:sectPr>
          <w:pgSz w:w="14400" w:h="10800"/>
          <w:pgMar w:top="178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4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VI. Evolution de l’inflation au Maroc</w:t>
      </w:r>
    </w:p>
    <w:p>
      <w:pPr>
        <w:sectPr>
          <w:pgSz w:w="14400" w:h="10800"/>
          <w:pgMar w:top="172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VI. Evolution de l’inflation au Maroc</w:t>
      </w:r>
    </w:p>
    <w:p>
      <w:pPr>
        <w:sectPr>
          <w:pgSz w:w="14400" w:h="10800"/>
          <w:pgMar w:top="168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66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VI. Evolution de l’inflation au Maroc</w:t>
      </w:r>
    </w:p>
    <w:p>
      <w:pPr>
        <w:sectPr>
          <w:pgSz w:w="14400" w:h="10800"/>
          <w:pgMar w:top="168" w:right="18" w:bottom="0" w:left="9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4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VI. Evolution de l’inflation au Maroc</w:t>
      </w:r>
    </w:p>
    <w:p>
      <w:pPr>
        <w:sectPr>
          <w:pgSz w:w="14400" w:h="10800"/>
          <w:pgMar w:top="140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76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VI. Evolution de l’inflation au Maroc</w:t>
      </w:r>
    </w:p>
    <w:p>
      <w:pPr>
        <w:sectPr>
          <w:pgSz w:w="14400" w:h="10800"/>
          <w:pgMar w:top="178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80" w:lineRule="exact" w:before="0" w:after="0"/>
        <w:ind w:left="0" w:right="0"/>
      </w:pPr>
    </w:p>
    <w:p>
      <w:pPr>
        <w:autoSpaceDN w:val="0"/>
        <w:tabs>
          <w:tab w:pos="148" w:val="left"/>
        </w:tabs>
        <w:autoSpaceDE w:val="0"/>
        <w:widowControl/>
        <w:spacing w:line="288" w:lineRule="auto" w:before="0" w:after="0"/>
        <w:ind w:left="0" w:right="1440" w:firstLine="0"/>
        <w:jc w:val="left"/>
      </w:pPr>
      <w:r>
        <w:rPr>
          <w:rFonts w:ascii="Garamond" w:hAnsi="Garamond" w:eastAsia="Garamond"/>
          <w:b/>
          <w:i w:val="0"/>
        </w:rPr>
        <w:t xml:space="preserve">VI. Evolution de l’inflation au Maroc </w:t>
      </w:r>
    </w:p>
    <w:p>
      <w:pPr>
        <w:sectPr>
          <w:pgSz w:w="14400" w:h="10800"/>
          <w:pgMar w:top="178" w:right="102" w:bottom="24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"/>
        <w:ind w:left="0" w:right="0"/>
      </w:pPr>
    </w:p>
    <w:p>
      <w:pPr>
        <w:autoSpaceDN w:val="0"/>
        <w:tabs>
          <w:tab w:pos="148" w:val="left"/>
        </w:tabs>
        <w:autoSpaceDE w:val="0"/>
        <w:widowControl/>
        <w:spacing w:line="250" w:lineRule="auto" w:before="0" w:after="0"/>
        <w:ind w:left="0" w:right="1440" w:firstLine="0"/>
        <w:jc w:val="left"/>
      </w:pPr>
      <w:r>
        <w:rPr>
          <w:rFonts w:ascii="Garamond" w:hAnsi="Garamond" w:eastAsia="Garamond"/>
          <w:b/>
          <w:i w:val="0"/>
        </w:rPr>
        <w:t xml:space="preserve">VI. Evolution de l’inflation au Maroc </w:t>
      </w:r>
    </w:p>
    <w:p>
      <w:pPr>
        <w:sectPr>
          <w:pgSz w:w="14400" w:h="10800"/>
          <w:pgMar w:top="256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8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/>
          <w:i w:val="0"/>
        </w:rPr>
        <w:t>VI. Evolution de l’inflation au Maroc</w:t>
      </w:r>
    </w:p>
    <w:p>
      <w:pPr>
        <w:sectPr>
          <w:pgSz w:w="14400" w:h="10800"/>
          <w:pgMar w:top="208" w:right="18" w:bottom="0" w:left="1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14"/>
        <w:ind w:left="0" w:right="0"/>
      </w:pPr>
    </w:p>
    <w:p>
      <w:pPr>
        <w:autoSpaceDN w:val="0"/>
        <w:autoSpaceDE w:val="0"/>
        <w:widowControl/>
        <w:spacing w:line="240" w:lineRule="auto" w:before="0" w:after="4282"/>
        <w:ind w:left="650" w:right="0" w:firstLine="0"/>
        <w:jc w:val="left"/>
      </w:pPr>
      <w:r>
        <w:rPr>
          <w:rFonts w:ascii="Garamond" w:hAnsi="Garamond" w:eastAsia="Garamond"/>
          <w:b/>
          <w:i w:val="0"/>
        </w:rPr>
        <w:t>MERCI DE VOTRE ATTENTION</w:t>
      </w:r>
    </w:p>
    <w:sectPr w:rsidR="00FC693F" w:rsidRPr="0006063C" w:rsidSect="00034616">
      <w:pgSz w:w="14400" w:h="10800"/>
      <w:pgMar w:top="1440" w:right="18" w:bottom="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