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422400" cy="9372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937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80" w:after="0"/>
        <w:ind w:left="0" w:right="0" w:firstLine="0"/>
        <w:jc w:val="center"/>
      </w:pPr>
      <w:r>
        <w:rPr>
          <w:rFonts w:ascii="" w:hAnsi="" w:eastAsia=""/>
          <w:b/>
          <w:i w:val="0"/>
        </w:rPr>
        <w:t xml:space="preserve">Allocution d’ouverture  de Monsieur le Wali, Abdellatif Jouahri, au séminaire </w:t>
      </w:r>
    </w:p>
    <w:p>
      <w:pPr>
        <w:sectPr>
          <w:pgSz w:w="11900" w:h="16840"/>
          <w:pgMar w:top="706" w:right="1326" w:bottom="498" w:left="1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5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politiques monétaires. Sur ce point, Permettez-moi, Mesdames et Messieurs d’illustrer mes </w:t>
      </w:r>
    </w:p>
    <w:p>
      <w:pPr>
        <w:sectPr>
          <w:pgSz w:w="11900" w:h="16840"/>
          <w:pgMar w:top="728" w:right="1338" w:bottom="49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5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fins de simulation et de prévision. Parallèlement, et en vue de communiquer et de vulgariser </w:t>
      </w:r>
    </w:p>
    <w:p>
      <w:pPr>
        <w:sectPr>
          <w:pgSz w:w="11900" w:h="16840"/>
          <w:pgMar w:top="728" w:right="1338" w:bottom="49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mesures non conventionnelles destinées principalement aux TPME en acceptant comme </w:t>
      </w:r>
    </w:p>
    <w:p>
      <w:pPr>
        <w:sectPr>
          <w:pgSz w:w="11900" w:h="16840"/>
          <w:pgMar w:top="728" w:right="1338" w:bottom="49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5" w:lineRule="auto" w:before="0" w:after="0"/>
        <w:ind w:left="0" w:right="20" w:firstLine="0"/>
        <w:jc w:val="both"/>
      </w:pPr>
      <w:r>
        <w:rPr>
          <w:rFonts w:ascii="" w:hAnsi="" w:eastAsia=""/>
          <w:b w:val="0"/>
          <w:i w:val="0"/>
        </w:rPr>
        <w:t xml:space="preserve">Je saisis ce temps de parole occasion pour vous inviter autant que faire ce peut à joindre </w:t>
      </w:r>
    </w:p>
    <w:sectPr w:rsidR="00FC693F" w:rsidRPr="0006063C" w:rsidSect="00034616">
      <w:pgSz w:w="11900" w:h="16840"/>
      <w:pgMar w:top="728" w:right="1338" w:bottom="498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