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4"/>
        <w:ind w:left="0" w:right="0"/>
      </w:pPr>
    </w:p>
    <w:p>
      <w:pPr>
        <w:autoSpaceDN w:val="0"/>
        <w:autoSpaceDE w:val="0"/>
        <w:widowControl/>
        <w:spacing w:line="452" w:lineRule="exact" w:before="702" w:after="0"/>
        <w:ind w:left="576" w:right="576" w:firstLine="0"/>
        <w:jc w:val="center"/>
      </w:pPr>
      <w:r>
        <w:rPr>
          <w:rFonts w:ascii="MyriadPro" w:hAnsi="MyriadPro" w:eastAsia="MyriadPro"/>
          <w:b w:val="0"/>
          <w:i w:val="0"/>
        </w:rPr>
        <w:t xml:space="preserve">Avis </w:t>
      </w:r>
    </w:p>
    <w:p>
      <w:pPr>
        <w:sectPr>
          <w:pgSz w:w="11906" w:h="16838"/>
          <w:pgMar w:top="1440" w:right="1440" w:bottom="244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6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2" w:lineRule="exact" w:before="2546" w:after="0"/>
        <w:ind w:left="576" w:right="576" w:firstLine="0"/>
        <w:jc w:val="center"/>
      </w:pPr>
      <w:r>
        <w:rPr>
          <w:rFonts w:ascii="MyriadPro" w:hAnsi="MyriadPro" w:eastAsia="MyriadPro"/>
          <w:b w:val="0"/>
          <w:i w:val="0"/>
        </w:rPr>
        <w:t xml:space="preserve">Avis </w:t>
      </w:r>
    </w:p>
    <w:p>
      <w:pPr>
        <w:sectPr>
          <w:pgSz w:w="11906" w:h="16838"/>
          <w:pgMar w:top="1440" w:right="1440" w:bottom="704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92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10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62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10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6" w:val="left"/>
        </w:tabs>
        <w:autoSpaceDE w:val="0"/>
        <w:widowControl/>
        <w:spacing w:line="240" w:lineRule="exact" w:before="2" w:after="0"/>
        <w:ind w:left="2688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1246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88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1338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6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1444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1346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44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1528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p>
      <w:pPr>
        <w:sectPr>
          <w:pgSz w:w="11906" w:h="16838"/>
          <w:pgMar w:top="390" w:right="1392" w:bottom="26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tabs>
          <w:tab w:pos="5612" w:val="left"/>
        </w:tabs>
        <w:autoSpaceDE w:val="0"/>
        <w:widowControl/>
        <w:spacing w:line="240" w:lineRule="exact" w:before="2" w:after="0"/>
        <w:ind w:left="2684" w:right="1296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La petite et moyenne agriculture familiale </w:t>
      </w:r>
    </w:p>
    <w:p>
      <w:pPr>
        <w:sectPr>
          <w:pgSz w:w="11906" w:h="16838"/>
          <w:pgMar w:top="270" w:right="0" w:bottom="26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MyriadPro" w:hAnsi="MyriadPro" w:eastAsia="MyriadPro"/>
          <w:b w:val="0"/>
          <w:i w:val="0"/>
        </w:rPr>
        <w:t>Avis du Conseil Economique, Social et Environnemental</w:t>
      </w:r>
    </w:p>
    <w:sectPr w:rsidR="00FC693F" w:rsidRPr="0006063C" w:rsidSect="00034616">
      <w:pgSz w:w="11906" w:h="16838"/>
      <w:pgMar w:top="392" w:right="1440" w:bottom="244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