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10"/>
        <w:ind w:left="0" w:right="0"/>
      </w:pPr>
    </w:p>
    <w:p>
      <w:pPr>
        <w:autoSpaceDN w:val="0"/>
        <w:autoSpaceDE w:val="0"/>
        <w:widowControl/>
        <w:spacing w:line="288" w:lineRule="auto" w:before="0" w:after="0"/>
        <w:ind w:left="0" w:right="0" w:firstLine="0"/>
        <w:jc w:val="center"/>
      </w:pPr>
      <w:r>
        <w:rPr>
          <w:rFonts w:ascii="DINNextLTW23" w:hAnsi="DINNextLTW23" w:eastAsia="DINNextLTW23"/>
          <w:b/>
          <w:i w:val="0"/>
        </w:rPr>
        <w:t xml:space="preserve">CONSEIL ÉCONOMIQUE, SOCIAL ET ENVIRONNEMENTAL </w:t>
      </w:r>
    </w:p>
    <w:p>
      <w:pPr>
        <w:sectPr>
          <w:pgSz w:w="11906" w:h="16838"/>
          <w:pgMar w:top="1440" w:right="846" w:bottom="586" w:left="86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12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730500" cy="20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auto" w:before="328" w:after="0"/>
        <w:ind w:left="0" w:right="1274" w:firstLine="0"/>
        <w:jc w:val="right"/>
      </w:pPr>
      <w:r>
        <w:rPr>
          <w:rFonts w:ascii="DINNextLTW23" w:hAnsi="DINNextLTW23" w:eastAsia="DINNextLTW23"/>
          <w:b w:val="0"/>
          <w:i w:val="0"/>
        </w:rPr>
        <w:t>Charte d’éthique</w:t>
      </w:r>
    </w:p>
    <w:p>
      <w:pPr>
        <w:sectPr>
          <w:pgSz w:w="11906" w:h="16838"/>
          <w:pgMar w:top="0" w:right="504" w:bottom="56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5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47800" cy="20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400" w:after="0"/>
        <w:ind w:left="1486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 Conseil Economique, Social et Environnemental</w:t>
      </w:r>
    </w:p>
    <w:p>
      <w:pPr>
        <w:sectPr>
          <w:pgSz w:w="11906" w:h="16838"/>
          <w:pgMar w:top="0" w:right="1344" w:bottom="566" w:left="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12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730500" cy="20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auto" w:before="2052" w:after="0"/>
        <w:ind w:left="1710" w:right="0" w:firstLine="0"/>
        <w:jc w:val="left"/>
      </w:pPr>
      <w:r>
        <w:rPr>
          <w:rFonts w:ascii="DINNextLTW23" w:hAnsi="DINNextLTW23" w:eastAsia="DINNextLTW23"/>
          <w:b w:val="0"/>
          <w:i w:val="0"/>
        </w:rPr>
        <w:t xml:space="preserve">ARTICLE 6 : ÉGALITÉ, NON-DISCRIMINATION </w:t>
      </w:r>
    </w:p>
    <w:p>
      <w:pPr>
        <w:sectPr>
          <w:pgSz w:w="11906" w:h="16838"/>
          <w:pgMar w:top="0" w:right="504" w:bottom="566" w:left="141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152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447800" cy="203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20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66" w:lineRule="exact" w:before="400" w:after="0"/>
        <w:ind w:left="1486" w:right="0" w:firstLine="0"/>
        <w:jc w:val="left"/>
      </w:pPr>
      <w:r>
        <w:rPr>
          <w:rFonts w:ascii="MyriadPro" w:hAnsi="MyriadPro" w:eastAsia="MyriadPro"/>
          <w:b w:val="0"/>
          <w:i w:val="0"/>
        </w:rPr>
        <w:t xml:space="preserve"> Conseil Economique, Social et Environnemental</w:t>
      </w:r>
    </w:p>
    <w:p>
      <w:pPr>
        <w:sectPr>
          <w:pgSz w:w="11906" w:h="16838"/>
          <w:pgMar w:top="0" w:right="1440" w:bottom="566" w:left="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0" w:right="126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730500" cy="2032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0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00" w:lineRule="auto" w:before="328" w:after="0"/>
        <w:ind w:left="0" w:right="1274" w:firstLine="0"/>
        <w:jc w:val="right"/>
      </w:pPr>
      <w:r>
        <w:rPr>
          <w:rFonts w:ascii="DINNextLTW23" w:hAnsi="DINNextLTW23" w:eastAsia="DINNextLTW23"/>
          <w:b w:val="0"/>
          <w:i w:val="0"/>
        </w:rPr>
        <w:t>Règlement intérieur</w:t>
      </w:r>
    </w:p>
    <w:sectPr w:rsidR="00FC693F" w:rsidRPr="0006063C" w:rsidSect="00034616">
      <w:pgSz w:w="11906" w:h="16838"/>
      <w:pgMar w:top="0" w:right="504" w:bottom="566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