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610"/>
        <w:ind w:left="0" w:right="0"/>
      </w:pPr>
    </w:p>
    <w:p>
      <w:pPr>
        <w:autoSpaceDN w:val="0"/>
        <w:autoSpaceDE w:val="0"/>
        <w:widowControl/>
        <w:spacing w:line="288" w:lineRule="auto" w:before="0" w:after="0"/>
        <w:ind w:left="0" w:right="0" w:firstLine="0"/>
        <w:jc w:val="center"/>
      </w:pPr>
      <w:r>
        <w:rPr>
          <w:rFonts w:ascii="DINNextLTW23" w:hAnsi="DINNextLTW23" w:eastAsia="DINNextLTW23"/>
          <w:b/>
          <w:i w:val="0"/>
        </w:rPr>
        <w:t xml:space="preserve">CONSEIL ÉCONOMIQUE, SOCIAL ET ENVIRONNEMENTAL </w:t>
      </w:r>
    </w:p>
    <w:p>
      <w:pPr>
        <w:sectPr>
          <w:pgSz w:w="11906" w:h="16838"/>
          <w:pgMar w:top="1440" w:right="846" w:bottom="586" w:left="866" w:header="720" w:footer="720" w:gutter="0"/>
          <w:cols/>
          <w:docGrid w:linePitch="360"/>
        </w:sectPr>
      </w:pPr>
    </w:p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5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87" w:lineRule="auto" w:before="0" w:after="0"/>
        <w:ind w:left="1584" w:right="1872" w:firstLine="0"/>
        <w:jc w:val="center"/>
      </w:pPr>
      <w:r>
        <w:rPr>
          <w:rFonts w:ascii="DINNextLTW23" w:hAnsi="DINNextLTW23" w:eastAsia="DINNextLTW23"/>
          <w:b w:val="0"/>
          <w:i w:val="0"/>
          <w:color w:val="000000"/>
          <w:sz w:val="52"/>
        </w:rPr>
        <w:t xml:space="preserve">REGLEMENT INTERIEUR </w:t>
      </w:r>
      <w:r>
        <w:rPr>
          <w:rFonts w:ascii="DINNextLTW23" w:hAnsi="DINNextLTW23" w:eastAsia="DINNextLTW23"/>
          <w:b w:val="0"/>
          <w:i w:val="0"/>
          <w:color w:val="000000"/>
          <w:sz w:val="36"/>
        </w:rPr>
        <w:t>Version 2024</w:t>
      </w:r>
    </w:p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9200" cy="10693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17800" cy="20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auto" w:before="328" w:after="0"/>
        <w:ind w:left="0" w:right="1274" w:firstLine="0"/>
        <w:jc w:val="right"/>
      </w:pPr>
      <w:r>
        <w:rPr>
          <w:rFonts w:ascii="DINNextLTW23" w:hAnsi="DINNextLTW23" w:eastAsia="DINNextLTW23"/>
          <w:b w:val="0"/>
          <w:i w:val="0"/>
        </w:rPr>
        <w:t>Règlement intérieur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400" w:after="0"/>
        <w:ind w:left="1486" w:right="0" w:firstLine="0"/>
        <w:jc w:val="left"/>
      </w:pPr>
      <w:r>
        <w:rPr>
          <w:rFonts w:ascii="MyriadPro" w:hAnsi="MyriadPro" w:eastAsia="MyriadPro"/>
          <w:b w:val="0"/>
          <w:i w:val="0"/>
        </w:rPr>
        <w:t xml:space="preserve"> Conseil Economique, Social et Environnemental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217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</w:rPr>
        <w:t xml:space="preserve">établir le Statut particulier du personnel du Conseil, conformément à l’alinéa 2 de 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286" w:after="0"/>
        <w:ind w:left="1684" w:right="20" w:firstLine="0"/>
        <w:jc w:val="both"/>
      </w:pPr>
      <w:r>
        <w:rPr>
          <w:rFonts w:ascii="DINNextLTW23" w:hAnsi="DINNextLTW23" w:eastAsia="DINNextLTW23"/>
          <w:b w:val="0"/>
          <w:i w:val="0"/>
        </w:rPr>
        <w:t xml:space="preserve">ARTICLE 6. 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298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</w:rPr>
        <w:t>ARTICLE 11.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256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</w:rPr>
        <w:t xml:space="preserve">ARTICLE 14. </w:t>
      </w:r>
    </w:p>
    <w:p>
      <w:pPr>
        <w:sectPr>
          <w:pgSz w:w="11906" w:h="16838"/>
          <w:pgMar w:top="0" w:right="1344" w:bottom="48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5" w:lineRule="auto" w:before="2052" w:after="0"/>
        <w:ind w:left="2880" w:right="4032" w:firstLine="0"/>
        <w:jc w:val="center"/>
      </w:pPr>
      <w:r>
        <w:rPr>
          <w:rFonts w:ascii="DINNextLTW23" w:hAnsi="DINNextLTW23" w:eastAsia="DINNextLTW23"/>
          <w:b w:val="0"/>
          <w:i w:val="0"/>
        </w:rPr>
        <w:t xml:space="preserve">SECTION II : </w:t>
      </w:r>
    </w:p>
    <w:p>
      <w:pPr>
        <w:sectPr>
          <w:pgSz w:w="11906" w:h="16838"/>
          <w:pgMar w:top="0" w:right="504" w:bottom="442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298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</w:rPr>
        <w:t>ARTICLE 27.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314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</w:rPr>
        <w:t>ARTICLE 33.</w:t>
      </w:r>
    </w:p>
    <w:p>
      <w:pPr>
        <w:sectPr>
          <w:pgSz w:w="11906" w:h="16838"/>
          <w:pgMar w:top="0" w:right="504" w:bottom="478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6" w:lineRule="exact" w:before="2116" w:after="0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</w:rPr>
        <w:t xml:space="preserve">examiner les projets d’avis du Conseil avant leur soumission à l’Assemblée Générale pour 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18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</w:rPr>
        <w:t xml:space="preserve">la commission de la société du savoir et de l’information ; 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298" w:after="0"/>
        <w:ind w:left="1584" w:right="0" w:firstLine="0"/>
        <w:jc w:val="center"/>
      </w:pPr>
      <w:r>
        <w:rPr>
          <w:rFonts w:ascii="DINNextLTW23" w:hAnsi="DINNextLTW23" w:eastAsia="DINNextLTW23"/>
          <w:b w:val="0"/>
          <w:i w:val="0"/>
        </w:rPr>
        <w:t xml:space="preserve">ARTICLE 42. 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217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</w:rPr>
        <w:t xml:space="preserve">fournir des solutions efficaces permettant de résoudre les problématiques économiques, </w:t>
      </w:r>
    </w:p>
    <w:p>
      <w:pPr>
        <w:sectPr>
          <w:pgSz w:w="11906" w:h="16838"/>
          <w:pgMar w:top="0" w:right="504" w:bottom="510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217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</w:rPr>
        <w:t xml:space="preserve">du développement et de la diffusion du savoir. Ces domaines couvrent l’innovation et le 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227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</w:rPr>
        <w:t>ARTICLE 59.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3" w:lineRule="auto" w:before="2066" w:after="0"/>
        <w:ind w:left="3888" w:right="2304" w:firstLine="0"/>
        <w:jc w:val="center"/>
      </w:pPr>
      <w:r>
        <w:rPr>
          <w:rFonts w:ascii="DINNextLTW23" w:hAnsi="DINNextLTW23" w:eastAsia="DINNextLTW23"/>
          <w:b/>
          <w:i w:val="0"/>
        </w:rPr>
        <w:t xml:space="preserve">SOUS SECTION III : 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8" w:lineRule="exact" w:before="227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</w:rPr>
        <w:t>ARTICLE 68.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186" w:after="0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</w:rPr>
        <w:t xml:space="preserve">enregistrer les saisines du Conseil émanant des autorités compétentes ; 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2172" w:after="0"/>
        <w:ind w:left="114" w:right="1140" w:firstLine="0"/>
        <w:jc w:val="both"/>
      </w:pPr>
      <w:r>
        <w:rPr>
          <w:rFonts w:ascii="MyriadPro" w:hAnsi="MyriadPro" w:eastAsia="MyriadPro"/>
          <w:b w:val="0"/>
          <w:i w:val="0"/>
        </w:rPr>
        <w:t>La troisième partie</w:t>
      </w:r>
    </w:p>
    <w:p>
      <w:pPr>
        <w:sectPr>
          <w:pgSz w:w="11906" w:h="16838"/>
          <w:pgMar w:top="0" w:right="504" w:bottom="398" w:left="142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256" w:after="0"/>
        <w:ind w:left="1684" w:right="20" w:firstLine="0"/>
        <w:jc w:val="both"/>
      </w:pPr>
      <w:r>
        <w:rPr>
          <w:rFonts w:ascii="DINNextLTW23" w:hAnsi="DINNextLTW23" w:eastAsia="DINNextLTW23"/>
          <w:b w:val="0"/>
          <w:i w:val="0"/>
        </w:rPr>
        <w:t xml:space="preserve">ARTICLE 79. </w:t>
      </w:r>
    </w:p>
    <w:sectPr w:rsidR="00FC693F" w:rsidRPr="0006063C" w:rsidSect="00034616">
      <w:pgSz w:w="11906" w:h="16838"/>
      <w:pgMar w:top="0" w:right="1344" w:bottom="566" w:left="1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