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8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20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260600" cy="88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00" w:after="0"/>
        <w:ind w:left="0" w:right="420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260600" cy="76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76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50" w:lineRule="exact" w:before="294" w:after="246"/>
        <w:ind w:left="144" w:right="576" w:firstLine="0"/>
        <w:jc w:val="center"/>
      </w:pPr>
      <w:r>
        <w:rPr>
          <w:rFonts w:ascii="MyriadPro" w:hAnsi="MyriadPro" w:eastAsia="MyriadPro"/>
          <w:b/>
          <w:i w:val="0"/>
        </w:rPr>
        <w:t xml:space="preserve">Le droit à l’eau et la sécurité hydrique, gravement menacés par un usage intensif: </w:t>
      </w:r>
    </w:p>
    <w:p>
      <w:pPr>
        <w:sectPr>
          <w:pgSz w:w="11906" w:h="16838"/>
          <w:pgMar w:top="1100" w:right="0" w:bottom="264" w:left="3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50"/>
        <w:ind w:left="0" w:right="0"/>
      </w:pPr>
    </w:p>
    <w:p>
      <w:pPr>
        <w:autoSpaceDN w:val="0"/>
        <w:autoSpaceDE w:val="0"/>
        <w:widowControl/>
        <w:spacing w:line="324" w:lineRule="exact" w:before="0" w:after="212"/>
        <w:ind w:left="1418" w:right="0" w:firstLine="0"/>
        <w:jc w:val="left"/>
      </w:pPr>
      <w:r>
        <w:rPr>
          <w:rFonts w:ascii="MyriadPro" w:hAnsi="MyriadPro" w:eastAsia="MyriadPro"/>
          <w:b/>
          <w:i w:val="0"/>
        </w:rPr>
        <w:t>Références</w:t>
      </w:r>
    </w:p>
    <w:sectPr w:rsidR="00FC693F" w:rsidRPr="0006063C" w:rsidSect="00034616">
      <w:pgSz w:w="11906" w:h="16838"/>
      <w:pgMar w:top="970" w:right="1350" w:bottom="264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