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3797300</wp:posOffset>
            </wp:positionV>
            <wp:extent cx="5575300" cy="6083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083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4307840</wp:posOffset>
            </wp:positionH>
            <wp:positionV relativeFrom="page">
              <wp:posOffset>369570</wp:posOffset>
            </wp:positionV>
            <wp:extent cx="622300" cy="58587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858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2628900</wp:posOffset>
            </wp:positionH>
            <wp:positionV relativeFrom="page">
              <wp:posOffset>342900</wp:posOffset>
            </wp:positionV>
            <wp:extent cx="2273300" cy="990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9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60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42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60600" cy="7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0" w:lineRule="exact" w:before="294" w:after="246"/>
        <w:ind w:left="144" w:right="576" w:firstLine="0"/>
        <w:jc w:val="center"/>
      </w:pPr>
      <w:r>
        <w:rPr>
          <w:rFonts w:ascii="MyriadPro" w:hAnsi="MyriadPro" w:eastAsia="MyriadPro"/>
          <w:b/>
          <w:i w:val="0"/>
          <w:color w:val="013E5C"/>
          <w:sz w:val="30"/>
        </w:rPr>
        <w:t xml:space="preserve">Le droit à l’eau et la sécurité hydrique, gravement menacés par un usage intensif: </w:t>
      </w:r>
      <w:r>
        <w:rPr>
          <w:rFonts w:ascii="MyriadPro" w:hAnsi="MyriadPro" w:eastAsia="MyriadPro"/>
          <w:b w:val="0"/>
          <w:i w:val="0"/>
          <w:color w:val="013E5C"/>
          <w:sz w:val="30"/>
        </w:rPr>
        <w:t>Le CESE tire la sonnette d’alarme et appelle à entreprendre des mesures urgentes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0080"/>
      </w:tblGrid>
      <w:tr>
        <w:trPr>
          <w:trHeight w:hRule="exact" w:val="1794"/>
        </w:trPr>
        <w:tc>
          <w:tcPr>
            <w:tcW w:type="dxa" w:w="10912"/>
            <w:tcBorders>
              <w:start w:sz="32.0" w:val="single" w:color="#FDBD33"/>
              <w:top w:sz="32.0" w:val="single" w:color="#FDBD33"/>
              <w:end w:sz="32.0" w:val="single" w:color="#FDBD33"/>
              <w:bottom w:sz="32.0" w:val="single" w:color="#FDBD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15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La demande en eau au Maroc est aujourd’hui supérieure à la quantité disponible en ressources annuelles renouvelables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d’eau douce. La sécurité hydrique devient, par conséquent, une priorité pour le Maroc aujourd’hui et pour les années à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venir.  Menaçant de générer de l’instabilité sociale et d’aggraver les inégalités territoriales, elle nécessite une réponse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politique urgente et devrait être considérée par le Maroc comme l’un des principaux garants de la paix sociale au niveau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du pays et  un facteur de soutenabilité et de résilience de son futur modèle de développement. Cette réponse doit émaner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d’une politique à la fois protectrice et valorisante de la ressource, mais également novatrice et inspirée des meilleures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pratiques en matière de gouvernance.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.999999999999986" w:type="dxa"/>
      </w:tblPr>
      <w:tblGrid>
        <w:gridCol w:w="2520"/>
        <w:gridCol w:w="2520"/>
        <w:gridCol w:w="2520"/>
        <w:gridCol w:w="2520"/>
      </w:tblGrid>
      <w:tr>
        <w:trPr>
          <w:trHeight w:hRule="exact" w:val="298"/>
        </w:trPr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L’eau est une ressource vitale qui se fait de plus en plus </w:t>
            </w:r>
          </w:p>
        </w:tc>
        <w:tc>
          <w:tcPr>
            <w:tcW w:type="dxa" w:w="6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344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>Des mesures d’ordre institutionnel et réglementaire:</w:t>
            </w:r>
          </w:p>
        </w:tc>
      </w:tr>
      <w:tr>
        <w:trPr>
          <w:trHeight w:hRule="exact" w:val="284"/>
        </w:trPr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7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>rare dans notre pays</w:t>
            </w:r>
          </w:p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118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• </w:t>
            </w:r>
          </w:p>
        </w:tc>
        <w:tc>
          <w:tcPr>
            <w:tcW w:type="dxa" w:w="5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12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Systématiser l’audit et la détection des fuites pour hisser </w:t>
            </w:r>
          </w:p>
        </w:tc>
      </w:tr>
      <w:tr>
        <w:trPr>
          <w:trHeight w:hRule="exact" w:val="220"/>
        </w:trPr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7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Un pays est considéré en situation de pénurie hydrique lorsque </w:t>
            </w:r>
          </w:p>
        </w:tc>
        <w:tc>
          <w:tcPr>
            <w:tcW w:type="dxa" w:w="6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798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le rendement de l’adduction et de la distribution de l’eau </w:t>
            </w:r>
          </w:p>
        </w:tc>
      </w:tr>
      <w:tr>
        <w:trPr>
          <w:trHeight w:hRule="exact" w:val="240"/>
        </w:trPr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7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la disponibilité en eau est inférieure à 1.000 m</w:t>
            </w:r>
            <w:r>
              <w:rPr>
                <w:w w:val="102.02500025431316"/>
                <w:rFonts w:ascii="MyriadPro" w:hAnsi="MyriadPro" w:eastAsia="MyriadPro"/>
                <w:b w:val="0"/>
                <w:i w:val="0"/>
                <w:color w:val="231F20"/>
                <w:sz w:val="12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/habitant/an. </w:t>
            </w:r>
          </w:p>
        </w:tc>
        <w:tc>
          <w:tcPr>
            <w:tcW w:type="dxa" w:w="6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dans les villes au niveau des standards internationaux ;</w:t>
            </w:r>
          </w:p>
        </w:tc>
      </w:tr>
      <w:tr>
        <w:trPr>
          <w:trHeight w:hRule="exact" w:val="8220"/>
        </w:trPr>
        <w:tc>
          <w:tcPr>
            <w:tcW w:type="dxa" w:w="114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230" w:lineRule="exact" w:before="12" w:after="0"/>
              <w:ind w:left="7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Au Maroc, la situation est encore plus alarmante puisque ses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Systématiser l’étude d’impact et d’efficacité hydrique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ressources en eau sont actuellement  évaluées à moins de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pour les projets d’investissements notamment dans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650 m</w:t>
            </w:r>
            <w:r>
              <w:rPr>
                <w:w w:val="102.02500025431316"/>
                <w:rFonts w:ascii="MyriadPro" w:hAnsi="MyriadPro" w:eastAsia="MyriadPro"/>
                <w:b w:val="0"/>
                <w:i w:val="0"/>
                <w:color w:val="231F20"/>
                <w:sz w:val="12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/habitant/an, contre  2500 m</w:t>
            </w:r>
            <w:r>
              <w:rPr>
                <w:w w:val="102.02500025431316"/>
                <w:rFonts w:ascii="MyriadPro" w:hAnsi="MyriadPro" w:eastAsia="MyriadPro"/>
                <w:b w:val="0"/>
                <w:i w:val="0"/>
                <w:color w:val="231F20"/>
                <w:sz w:val="12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  en 1960 et devraient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l’agriculture, l’industrie et le tourisme et instaurer le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baisser en deçà de 500 m</w:t>
            </w:r>
            <w:r>
              <w:rPr>
                <w:w w:val="102.02500025431316"/>
                <w:rFonts w:ascii="MyriadPro" w:hAnsi="MyriadPro" w:eastAsia="MyriadPro"/>
                <w:b w:val="0"/>
                <w:i w:val="0"/>
                <w:color w:val="231F20"/>
                <w:sz w:val="12"/>
              </w:rPr>
              <w:t>3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 à l’horizon de 2030. Certaines études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recours à l’arbitrage du Chef du Gouvernement dans ce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internationales indiquent que les changements climatiques </w:t>
            </w:r>
          </w:p>
          <w:p>
            <w:pPr>
              <w:autoSpaceDN w:val="0"/>
              <w:autoSpaceDE w:val="0"/>
              <w:widowControl/>
              <w:spacing w:line="230" w:lineRule="exact" w:before="2194" w:after="0"/>
              <w:ind w:left="70" w:right="611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efficaces. Certaines villes marocaines ont connu ces dernières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années, des manifestations récurrentes de « la crise de la soif »,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au moment où l’eau potable continue d’être utilisée dans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d’autres villes pour l’arrosage des espaces verts et de certains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projets touristiques, sans omettre les formes de consommation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non soutenables appliquées dans l’agriculture.</w:t>
            </w:r>
          </w:p>
          <w:p>
            <w:pPr>
              <w:autoSpaceDN w:val="0"/>
              <w:autoSpaceDE w:val="0"/>
              <w:widowControl/>
              <w:spacing w:line="232" w:lineRule="exact" w:before="56" w:after="0"/>
              <w:ind w:left="70" w:right="6048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…d’où la nécessité d’agir en urgence pour assurer la 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sécurité hydrique du Maroc </w:t>
            </w:r>
          </w:p>
          <w:p>
            <w:pPr>
              <w:autoSpaceDN w:val="0"/>
              <w:autoSpaceDE w:val="0"/>
              <w:widowControl/>
              <w:spacing w:line="1828" w:lineRule="exact" w:before="0" w:after="0"/>
              <w:ind w:left="7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Le caractère irréversible de la raréfaction des ressources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hydriques au Maroc s’accentuera davantage si aucune mesure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n’est prise ou encore, si les réformes annoncées tardent à être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mises en œuvre. A ce titre, trois grandes catégories d’actions,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issues des rapports et avis du CESE, s’avèrent nécessaires : </w:t>
            </w:r>
            <w:r>
              <w:rPr>
                <w:rFonts w:ascii="DINNextLTW23" w:hAnsi="DINNextLTW23" w:eastAsia="DINNextLTW23"/>
                <w:b/>
                <w:i w:val="0"/>
                <w:color w:val="D4DBD6"/>
                <w:sz w:val="272"/>
              </w:rPr>
              <w:t xml:space="preserve">CESE </w:t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Des mesures d’ordre stratégique pour une meilleure </w:t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allocation des investissements dans le domaine de 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1358" w:lineRule="exact" w:before="0" w:after="0"/>
              <w:ind w:left="5802" w:right="144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•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capacités d’autofinancement des régions ;</w:t>
            </w:r>
          </w:p>
          <w:p>
            <w:pPr>
              <w:autoSpaceDN w:val="0"/>
              <w:autoSpaceDE w:val="0"/>
              <w:widowControl/>
              <w:spacing w:line="230" w:lineRule="exact" w:before="8" w:after="0"/>
              <w:ind w:left="6138" w:right="500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 Activer les instances de coordination et de concertation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au niveau national et local pour rendre des arbitrages,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non seulement liés aux conflits, mais essentiellement aux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choix à effectuer au regard des différents critères émanant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d’une politique d’investissement et de développement 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904" w:lineRule="exact" w:before="0" w:after="0"/>
              <w:ind w:left="70" w:right="432" w:firstLine="0"/>
              <w:jc w:val="left"/>
            </w:pP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Accélérer le recours massif aux ressources hydriques non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conventionnelles, notamment à travers la généralisation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du dessalement de l’eau de mer pour les zones côtières et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pourraient provoquer la disparition de 80% des ressources d’eau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disponibles dans notre pays dans les 25 prochaines années.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Entamer une réforme profonde de la tarification nationale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et locale de l’eau et des services de l’assainissement </w:t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En dépit de sa rareté, l’eau continue d’être surexploitée </w:t>
            </w:r>
            <w:r>
              <w:br/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liquide et de l’épuration des eaux usées et communiquer </w:t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>et gaspillée</w:t>
            </w:r>
          </w:p>
          <w:p>
            <w:pPr>
              <w:autoSpaceDN w:val="0"/>
              <w:tabs>
                <w:tab w:pos="6138" w:val="left"/>
              </w:tabs>
              <w:autoSpaceDE w:val="0"/>
              <w:widowControl/>
              <w:spacing w:line="244" w:lineRule="exact" w:before="0" w:after="0"/>
              <w:ind w:left="70" w:right="432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Malgré l’extrême gravité de la situation, la surexploitation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Mettre en place un référentiel national de la comptabilité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des ressources en eau, notamment des nappes souterraines,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de l’eau qui reflète les coûts réels de l’eau par bassin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s’accentue dans notre pays, faisant fi des autorisations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hydraulique versant, permettant d’assurer une solidarité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imposées par la loi, alors que les pouvoirs publics sont dans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régionale et sociale via un meilleur ciblage des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l’incapacité de mettre en place des moyens de contrôle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subventions publiques au secteur et en optimisant les </w:t>
            </w:r>
          </w:p>
          <w:p>
            <w:pPr>
              <w:autoSpaceDN w:val="0"/>
              <w:tabs>
                <w:tab w:pos="188" w:val="left"/>
                <w:tab w:pos="524" w:val="left"/>
                <w:tab w:pos="5802" w:val="left"/>
                <w:tab w:pos="6138" w:val="left"/>
              </w:tabs>
              <w:autoSpaceDE w:val="0"/>
              <w:widowControl/>
              <w:spacing w:line="268" w:lineRule="exact" w:before="3080" w:after="0"/>
              <w:ind w:left="70" w:right="43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 xml:space="preserve">Des mesures de sensibilisation urgentes pour agir sur </w:t>
            </w:r>
            <w:r>
              <w:tab/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la réutilisation des eaux usées épurées ; </w:t>
            </w:r>
            <w:r>
              <w:br/>
            </w:r>
            <w:r>
              <w:rPr>
                <w:rFonts w:ascii="MyriadPro" w:hAnsi="MyriadPro" w:eastAsia="MyriadPro"/>
                <w:b/>
                <w:i w:val="0"/>
                <w:color w:val="525556"/>
                <w:sz w:val="21"/>
              </w:rPr>
              <w:t>le comportement des usagers :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•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Installer, au moins pour les nouveaux lotissements,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• </w:t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Concevoir et mettre en œuvre une stratégie de </w:t>
            </w:r>
            <w:r>
              <w:tab/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des réseaux séparatifs et œuvrer à la généralisation des </w:t>
            </w:r>
            <w:r>
              <w:tab/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communication visant à sensibiliser l’ensemble des </w:t>
            </w:r>
            <w:r>
              <w:tab/>
            </w:r>
            <w:r>
              <w:tab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stations d’épuration. </w:t>
            </w:r>
          </w:p>
          <w:p>
            <w:pPr>
              <w:autoSpaceDN w:val="0"/>
              <w:autoSpaceDE w:val="0"/>
              <w:widowControl/>
              <w:spacing w:line="230" w:lineRule="exact" w:before="8" w:after="0"/>
              <w:ind w:left="524" w:right="6116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usagers (collectivités territoriales, acteurs économiques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et citoyens, etc.) de l’importance capitale d’adopter des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comportements éco-responsables à l’égard de l’eau ;</w:t>
            </w:r>
          </w:p>
        </w:tc>
      </w:tr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0" w:right="0" w:firstLine="0"/>
              <w:jc w:val="center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• </w:t>
            </w:r>
          </w:p>
        </w:tc>
        <w:tc>
          <w:tcPr>
            <w:tcW w:type="dxa" w:w="110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" w:after="0"/>
              <w:ind w:left="1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Rompre avec la pratique d’arrosage des espaces verts </w:t>
            </w:r>
          </w:p>
        </w:tc>
      </w:tr>
      <w:tr>
        <w:trPr>
          <w:trHeight w:hRule="exact" w:val="240"/>
        </w:trPr>
        <w:tc>
          <w:tcPr>
            <w:tcW w:type="dxa" w:w="114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5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publics et des structures sportives et des parcs de loisir </w:t>
            </w:r>
          </w:p>
        </w:tc>
      </w:tr>
      <w:tr>
        <w:trPr>
          <w:trHeight w:hRule="exact" w:val="470"/>
        </w:trPr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524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 xml:space="preserve">avec l’eau potable par un recours systématique à la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1"/>
              </w:rPr>
              <w:t>réutilisation des eaux usés.</w:t>
            </w:r>
          </w:p>
        </w:tc>
        <w:tc>
          <w:tcPr>
            <w:tcW w:type="dxa" w:w="61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06" w:after="0"/>
              <w:ind w:left="0" w:right="1462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6D6E71"/>
                <w:sz w:val="24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100" w:right="0" w:bottom="264" w:left="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4470400</wp:posOffset>
            </wp:positionV>
            <wp:extent cx="3314700" cy="3619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19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4" w:lineRule="exact" w:before="0" w:after="212"/>
        <w:ind w:left="1418" w:right="0" w:firstLine="0"/>
        <w:jc w:val="left"/>
      </w:pPr>
      <w:r>
        <w:rPr>
          <w:rFonts w:ascii="MyriadPro" w:hAnsi="MyriadPro" w:eastAsia="MyriadPro"/>
          <w:b/>
          <w:i w:val="0"/>
          <w:color w:val="FCC020"/>
          <w:sz w:val="28"/>
        </w:rPr>
        <w:t>Références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58"/>
        <w:gridCol w:w="4558"/>
      </w:tblGrid>
      <w:tr>
        <w:trPr>
          <w:trHeight w:hRule="exact" w:val="30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0" w:right="104" w:firstLine="0"/>
              <w:jc w:val="righ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538" w:lineRule="exact" w:before="240" w:after="0"/>
              <w:ind w:left="774" w:right="104" w:firstLine="0"/>
              <w:jc w:val="both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•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•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• </w:t>
            </w:r>
            <w:r>
              <w:br/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• 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8" w:after="0"/>
              <w:ind w:left="13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CESE, « Gouvernance par la gestion intégrée des ressources en eau au Maroc : levier fondamental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>de développement durable », 2014.</w:t>
            </w:r>
          </w:p>
          <w:p>
            <w:pPr>
              <w:autoSpaceDN w:val="0"/>
              <w:autoSpaceDE w:val="0"/>
              <w:widowControl/>
              <w:spacing w:line="536" w:lineRule="exact" w:before="0" w:after="0"/>
              <w:ind w:left="130" w:right="144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CESE, Focus du rapport annuel « justice climatique : Enjeux et défis pour la mise en œuvre», 2015.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CESE, « Richesse globale du Maroc », 2016. </w:t>
            </w:r>
          </w:p>
          <w:p>
            <w:pPr>
              <w:autoSpaceDN w:val="0"/>
              <w:autoSpaceDE w:val="0"/>
              <w:widowControl/>
              <w:spacing w:line="248" w:lineRule="exact" w:before="288" w:after="0"/>
              <w:ind w:left="13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CESE, Rapport annuel au titre de l’année 2018. </w:t>
            </w:r>
          </w:p>
          <w:p>
            <w:pPr>
              <w:autoSpaceDN w:val="0"/>
              <w:autoSpaceDE w:val="0"/>
              <w:widowControl/>
              <w:spacing w:line="242" w:lineRule="exact" w:before="296" w:after="0"/>
              <w:ind w:left="130" w:right="0" w:firstLine="0"/>
              <w:jc w:val="left"/>
            </w:pP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CESE, « Le nouveau modèle de développement, contribution du Conseil Economique, Social et </w:t>
            </w:r>
            <w:r>
              <w:rPr>
                <w:rFonts w:ascii="MyriadPro" w:hAnsi="MyriadPro" w:eastAsia="MyriadPro"/>
                <w:b w:val="0"/>
                <w:i w:val="0"/>
                <w:color w:val="231F20"/>
                <w:sz w:val="22"/>
              </w:rPr>
              <w:t xml:space="preserve">Environnemental »,  2019. </w:t>
            </w:r>
          </w:p>
        </w:tc>
      </w:tr>
    </w:tbl>
    <w:p>
      <w:pPr>
        <w:autoSpaceDN w:val="0"/>
        <w:autoSpaceDE w:val="0"/>
        <w:widowControl/>
        <w:spacing w:line="245" w:lineRule="auto" w:before="2120" w:after="0"/>
        <w:ind w:left="4032" w:right="2742" w:firstLine="0"/>
        <w:jc w:val="right"/>
      </w:pPr>
      <w:r>
        <w:rPr>
          <w:rFonts w:ascii="DINNextLTW23" w:hAnsi="DINNextLTW23" w:eastAsia="DINNextLTW23"/>
          <w:b w:val="0"/>
          <w:i w:val="0"/>
          <w:color w:val="555859"/>
          <w:sz w:val="109"/>
        </w:rPr>
        <w:t xml:space="preserve">ALERTE </w:t>
      </w:r>
      <w:r>
        <w:br/>
      </w:r>
      <w:r>
        <w:rPr>
          <w:rFonts w:ascii="DINNextLTW23" w:hAnsi="DINNextLTW23" w:eastAsia="DINNextLTW23"/>
          <w:b/>
          <w:i w:val="0"/>
          <w:color w:val="2D664E"/>
          <w:sz w:val="162"/>
        </w:rPr>
        <w:t>CESE</w:t>
      </w:r>
    </w:p>
    <w:p>
      <w:pPr>
        <w:autoSpaceDN w:val="0"/>
        <w:autoSpaceDE w:val="0"/>
        <w:widowControl/>
        <w:spacing w:line="272" w:lineRule="exact" w:before="475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</w:t>
      </w:r>
    </w:p>
    <w:sectPr w:rsidR="00FC693F" w:rsidRPr="0006063C" w:rsidSect="00034616">
      <w:pgSz w:w="11906" w:h="16838"/>
      <w:pgMar w:top="970" w:right="1350" w:bottom="26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