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5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012950" cy="6159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615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624" w:lineRule="exact" w:before="2198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595959"/>
          <w:sz w:val="56"/>
        </w:rPr>
        <w:t xml:space="preserve">Ouverture des données </w:t>
      </w:r>
    </w:p>
    <w:p>
      <w:pPr>
        <w:autoSpaceDN w:val="0"/>
        <w:autoSpaceDE w:val="0"/>
        <w:widowControl/>
        <w:spacing w:line="624" w:lineRule="exact" w:before="20" w:after="0"/>
        <w:ind w:left="1884" w:right="0" w:firstLine="0"/>
        <w:jc w:val="left"/>
      </w:pPr>
      <w:r>
        <w:rPr>
          <w:rFonts w:ascii="Arial" w:hAnsi="Arial" w:eastAsia="Arial"/>
          <w:b/>
          <w:i w:val="0"/>
          <w:color w:val="595959"/>
          <w:sz w:val="56"/>
        </w:rPr>
        <w:t>publiques au Maroc</w:t>
      </w:r>
    </w:p>
    <w:p>
      <w:pPr>
        <w:autoSpaceDN w:val="0"/>
        <w:autoSpaceDE w:val="0"/>
        <w:widowControl/>
        <w:spacing w:line="197" w:lineRule="auto" w:before="1144" w:after="0"/>
        <w:ind w:left="708" w:right="0" w:firstLine="0"/>
        <w:jc w:val="left"/>
      </w:pPr>
      <w:r>
        <w:rPr>
          <w:rFonts w:ascii="Calibri" w:hAnsi="Calibri" w:eastAsia="Calibri"/>
          <w:b/>
          <w:i w:val="0"/>
          <w:color w:val="254265"/>
          <w:sz w:val="48"/>
        </w:rPr>
        <w:t xml:space="preserve">Guide méthodologique pour la mise en </w:t>
      </w:r>
    </w:p>
    <w:p>
      <w:pPr>
        <w:autoSpaceDN w:val="0"/>
        <w:autoSpaceDE w:val="0"/>
        <w:widowControl/>
        <w:spacing w:line="197" w:lineRule="auto" w:before="152" w:after="94"/>
        <w:ind w:left="708" w:right="0" w:firstLine="0"/>
        <w:jc w:val="left"/>
      </w:pPr>
      <w:r>
        <w:rPr>
          <w:rFonts w:ascii="Calibri" w:hAnsi="Calibri" w:eastAsia="Calibri"/>
          <w:b/>
          <w:i w:val="0"/>
          <w:color w:val="254265"/>
          <w:sz w:val="48"/>
        </w:rPr>
        <w:t xml:space="preserve">œuvre d’un inventaire de données au sein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2289"/>
        <w:gridCol w:w="2289"/>
        <w:gridCol w:w="2289"/>
        <w:gridCol w:w="2289"/>
      </w:tblGrid>
      <w:tr>
        <w:trPr>
          <w:trHeight w:hRule="exact" w:val="600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3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54265"/>
                <w:sz w:val="48"/>
              </w:rPr>
              <w:t xml:space="preserve">d’une 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254265"/>
                <w:sz w:val="48"/>
              </w:rPr>
              <w:t xml:space="preserve">structure 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254265"/>
                <w:sz w:val="48"/>
              </w:rPr>
              <w:t xml:space="preserve">publique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254265"/>
                <w:sz w:val="48"/>
              </w:rPr>
              <w:t xml:space="preserve">de </w:t>
            </w:r>
          </w:p>
        </w:tc>
      </w:tr>
    </w:tbl>
    <w:p>
      <w:pPr>
        <w:autoSpaceDN w:val="0"/>
        <w:autoSpaceDE w:val="0"/>
        <w:widowControl/>
        <w:spacing w:line="197" w:lineRule="auto" w:before="90" w:after="0"/>
        <w:ind w:left="708" w:right="0" w:firstLine="0"/>
        <w:jc w:val="left"/>
      </w:pPr>
      <w:r>
        <w:rPr>
          <w:rFonts w:ascii="Calibri" w:hAnsi="Calibri" w:eastAsia="Calibri"/>
          <w:b/>
          <w:i w:val="0"/>
          <w:color w:val="254265"/>
          <w:sz w:val="48"/>
        </w:rPr>
        <w:t xml:space="preserve">l’Administration marocaine </w:t>
      </w:r>
    </w:p>
    <w:p>
      <w:pPr>
        <w:autoSpaceDN w:val="0"/>
        <w:autoSpaceDE w:val="0"/>
        <w:widowControl/>
        <w:spacing w:line="197" w:lineRule="auto" w:before="1884" w:after="0"/>
        <w:ind w:left="0" w:right="1790" w:firstLine="0"/>
        <w:jc w:val="right"/>
      </w:pPr>
      <w:r>
        <w:rPr>
          <w:rFonts w:ascii="Calibri" w:hAnsi="Calibri" w:eastAsia="Calibri"/>
          <w:b w:val="0"/>
          <w:i w:val="0"/>
          <w:color w:val="254265"/>
          <w:sz w:val="40"/>
        </w:rPr>
        <w:t xml:space="preserve">Version 1.3 - février 2023 </w:t>
      </w:r>
    </w:p>
    <w:p>
      <w:pPr>
        <w:autoSpaceDN w:val="0"/>
        <w:autoSpaceDE w:val="0"/>
        <w:widowControl/>
        <w:spacing w:line="197" w:lineRule="auto" w:before="3764" w:after="0"/>
        <w:ind w:left="1952" w:right="0" w:firstLine="0"/>
        <w:jc w:val="left"/>
      </w:pPr>
      <w:r>
        <w:rPr>
          <w:rFonts w:ascii="Calibri" w:hAnsi="Calibri" w:eastAsia="Calibri"/>
          <w:b w:val="0"/>
          <w:i w:val="0"/>
          <w:color w:val="254265"/>
          <w:sz w:val="40"/>
        </w:rPr>
        <w:t xml:space="preserve">Ce guide a été élaboré avec l’appui de la </w:t>
      </w:r>
    </w:p>
    <w:p>
      <w:pPr>
        <w:autoSpaceDN w:val="0"/>
        <w:autoSpaceDE w:val="0"/>
        <w:widowControl/>
        <w:spacing w:line="197" w:lineRule="auto" w:before="128" w:after="0"/>
        <w:ind w:left="0" w:right="2760" w:firstLine="0"/>
        <w:jc w:val="right"/>
      </w:pPr>
      <w:r>
        <w:rPr>
          <w:rFonts w:ascii="Calibri" w:hAnsi="Calibri" w:eastAsia="Calibri"/>
          <w:b w:val="0"/>
          <w:i w:val="0"/>
          <w:color w:val="254265"/>
          <w:sz w:val="40"/>
        </w:rPr>
        <w:t xml:space="preserve">Banque Mondiale </w:t>
      </w:r>
    </w:p>
    <w:p>
      <w:pPr>
        <w:sectPr>
          <w:pgSz w:w="11906" w:h="16838"/>
          <w:pgMar w:top="150" w:right="1310" w:bottom="8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32"/>
        </w:rPr>
        <w:t xml:space="preserve">Table des Matières </w:t>
      </w:r>
    </w:p>
    <w:p>
      <w:pPr>
        <w:autoSpaceDN w:val="0"/>
        <w:autoSpaceDE w:val="0"/>
        <w:widowControl/>
        <w:spacing w:line="331" w:lineRule="auto" w:before="354" w:after="7104"/>
        <w:ind w:left="0" w:right="2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Version ....................................................................................................................................... 3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Introduction ............................................................................................................................... 3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Rôle de l’inventaire de données dans l’ouverture des données publiques .............................. 3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Acteurs d’un inventaire de données .......................................................................................... 6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Enrôlement des structures publiques ........................................................................................ 7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Mise en œuvre de l’inventaire ................................................................................................... 8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Structure organisationnelle &amp; approche stratégique ............................................................ 8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Sensibilisation et mobilisation ............................................................................................. 10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Processus de cartographie ................................................................................................... 10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Classification des données ................................................................................................... 11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Priorisation des données ..................................................................................................... 12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Publication de l’inventaire ................................................................................................... 12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Interaction avec les réutilisateurs ........................................................................................ 13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métadonnées à répertorier ............................................................................................... 13 </w:t>
      </w:r>
      <w:r>
        <w:rPr>
          <w:rFonts w:ascii="Calibri" w:hAnsi="Calibri" w:eastAsia="Calibri"/>
          <w:b w:val="0"/>
          <w:i w:val="0"/>
          <w:color w:val="000000"/>
          <w:sz w:val="24"/>
        </w:rPr>
        <w:t>Calendrier d’exécution d’un inventaire de données ............................................................... 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4"/>
        <w:gridCol w:w="4524"/>
      </w:tblGrid>
      <w:tr>
        <w:trPr>
          <w:trHeight w:hRule="exact" w:val="470"/>
        </w:trPr>
        <w:tc>
          <w:tcPr>
            <w:tcW w:type="dxa" w:w="8126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Guide méthodologique pour la mise en œuvre d’un inventaire de données </w:t>
            </w:r>
          </w:p>
        </w:tc>
        <w:tc>
          <w:tcPr>
            <w:tcW w:type="dxa" w:w="902"/>
            <w:tcBorders>
              <w:top w:sz="3.2000000000007276" w:val="single" w:color="#000000"/>
            </w:tcBorders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4"/>
              </w:rPr>
              <w:t xml:space="preserve">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54" w:right="1418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32"/>
        </w:rPr>
        <w:t xml:space="preserve">Version </w:t>
      </w:r>
    </w:p>
    <w:p>
      <w:pPr>
        <w:autoSpaceDN w:val="0"/>
        <w:autoSpaceDE w:val="0"/>
        <w:widowControl/>
        <w:spacing w:line="197" w:lineRule="auto" w:before="20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La présente version de ce document est disponible à l’adresse 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4"/>
        </w:rPr>
        <w:hyperlink r:id="rId10" w:history="1">
          <w:r>
            <w:rPr>
              <w:rStyle w:val="Hyperlink"/>
            </w:rPr>
            <w:t>www.data.gov.ma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.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197" w:lineRule="auto" w:before="332" w:after="0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32"/>
        </w:rPr>
        <w:t xml:space="preserve">Introduction </w:t>
      </w:r>
    </w:p>
    <w:p>
      <w:pPr>
        <w:autoSpaceDN w:val="0"/>
        <w:autoSpaceDE w:val="0"/>
        <w:widowControl/>
        <w:spacing w:line="245" w:lineRule="auto" w:before="206" w:after="0"/>
        <w:ind w:left="0" w:right="3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 document est un manuel à destination des Responsables Open Data (ROD) au sein des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structures publiques. L’objectif de ce manuel est d’apporter à ces ROD un support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opérationnel dans la mise en place et la gestion d’un inventaire de données ouvertes au sein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 leurs structures respectives. </w:t>
      </w:r>
    </w:p>
    <w:p>
      <w:pPr>
        <w:autoSpaceDN w:val="0"/>
        <w:autoSpaceDE w:val="0"/>
        <w:widowControl/>
        <w:spacing w:line="247" w:lineRule="auto" w:before="238" w:after="0"/>
        <w:ind w:left="0" w:right="3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 manuel est divisé en quatre parties. La première partie présente l’importance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l’inventaire de données dans la mise en œuvre d’une initiative Open Data. La deuxième partie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présente les acteurs de l’inventaire de données. La troisième partie propose une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méthodologie de mise en œuvre de l’inventaire. Enfin, la dernière partie liste l’ensemble des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métadonnées à collecter pour chaque entrée de l’inventaire. </w:t>
      </w:r>
    </w:p>
    <w:p>
      <w:pPr>
        <w:autoSpaceDN w:val="0"/>
        <w:autoSpaceDE w:val="0"/>
        <w:widowControl/>
        <w:spacing w:line="245" w:lineRule="auto" w:before="236" w:after="0"/>
        <w:ind w:left="0" w:right="3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 manuel est un document vivant qui devrait s’enrichir au fur et à mesure des retours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d’expérience des ROD, des défis qu’ils rencontrent et des stratégies qu’ils mettent en place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pour les résoudre. Les commentaires et les propositions d’évolutions sont à envoyer à </w:t>
      </w:r>
      <w:r>
        <w:rPr>
          <w:rFonts w:ascii="Calibri" w:hAnsi="Calibri" w:eastAsia="Calibri"/>
          <w:b w:val="0"/>
          <w:i w:val="0"/>
          <w:color w:val="000000"/>
          <w:sz w:val="24"/>
        </w:rPr>
        <w:t>l’adresse suivante 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4"/>
        </w:rPr>
        <w:hyperlink r:id="rId11" w:history="1">
          <w:r>
            <w:rPr>
              <w:rStyle w:val="Hyperlink"/>
            </w:rPr>
            <w:t>Opendata@add.gov.ma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197" w:lineRule="auto" w:before="454" w:after="0"/>
        <w:ind w:left="0" w:right="0" w:firstLine="0"/>
        <w:jc w:val="center"/>
      </w:pPr>
      <w:r>
        <w:rPr>
          <w:rFonts w:ascii="Calibri Light" w:hAnsi="Calibri Light" w:eastAsia="Calibri Light"/>
          <w:b w:val="0"/>
          <w:i w:val="0"/>
          <w:color w:val="2F5496"/>
          <w:sz w:val="32"/>
        </w:rPr>
        <w:t xml:space="preserve">Rôle de l’inventaire de données dans l’ouverture des données </w:t>
      </w:r>
    </w:p>
    <w:p>
      <w:pPr>
        <w:autoSpaceDN w:val="0"/>
        <w:autoSpaceDE w:val="0"/>
        <w:widowControl/>
        <w:spacing w:line="197" w:lineRule="auto" w:before="102" w:after="0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32"/>
        </w:rPr>
        <w:t xml:space="preserve">publiques </w:t>
      </w:r>
    </w:p>
    <w:p>
      <w:pPr>
        <w:autoSpaceDN w:val="0"/>
        <w:autoSpaceDE w:val="0"/>
        <w:widowControl/>
        <w:spacing w:line="252" w:lineRule="auto" w:before="204" w:after="0"/>
        <w:ind w:left="0" w:right="3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données ouvertes en tant que concept trouvent leur origine dans la conviction que les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données publiques devraient être librement disponibles pour être publiées, utilisées 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réutilisées sans limitations ni contrôle. L’idée principale de cette approche est que 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disponibilité de ces données dans un format approprié permettrait leur valorisation à la fois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au sein de l’Administration mais également par l’ensemble des acteurs de la société.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L’exploitation et la valorisation de ces données amènent à plusieurs impacts mesurables que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 soit en termes d’efficacité de l’action publique, de création de richesse, d’emplois,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services pour les citoyens et de connaissances. </w:t>
      </w:r>
    </w:p>
    <w:p>
      <w:pPr>
        <w:autoSpaceDN w:val="0"/>
        <w:autoSpaceDE w:val="0"/>
        <w:widowControl/>
        <w:spacing w:line="245" w:lineRule="auto" w:before="238" w:after="0"/>
        <w:ind w:left="0" w:right="3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L’émergence de ces impacts est directement liée à la fois au volume de données publiées, à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leur pertinence pour les réutilisateurs (internes ou externes à l’Administration), au format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 publication et à la qualité des données. </w:t>
      </w:r>
    </w:p>
    <w:p>
      <w:pPr>
        <w:autoSpaceDN w:val="0"/>
        <w:autoSpaceDE w:val="0"/>
        <w:widowControl/>
        <w:spacing w:line="245" w:lineRule="auto" w:before="240" w:after="211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 processus de publication de données ouvertes est schématiquement représenté dans 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diagramme suivant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7"/>
        <w:gridCol w:w="4557"/>
      </w:tblGrid>
      <w:tr>
        <w:trPr>
          <w:trHeight w:hRule="exact" w:val="470"/>
        </w:trPr>
        <w:tc>
          <w:tcPr>
            <w:tcW w:type="dxa" w:w="8126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Guide méthodologique pour la mise en œuvre d’un inventaire de données </w:t>
            </w:r>
          </w:p>
        </w:tc>
        <w:tc>
          <w:tcPr>
            <w:tcW w:type="dxa" w:w="902"/>
            <w:tcBorders>
              <w:top w:sz="3.2000000000007276" w:val="single" w:color="#000000"/>
            </w:tcBorders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4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54" w:right="1352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15230" cy="30060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3006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714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Pour conduire ce processus et atteindre l’objectif d’un grand volume de données de qualité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publiées, les structures publiques et leurs agents doivent répondre à plusieurs questions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essentielles : </w:t>
      </w:r>
    </w:p>
    <w:p>
      <w:pPr>
        <w:autoSpaceDN w:val="0"/>
        <w:tabs>
          <w:tab w:pos="720" w:val="left"/>
        </w:tabs>
        <w:autoSpaceDE w:val="0"/>
        <w:widowControl/>
        <w:spacing w:line="252" w:lineRule="auto" w:before="19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Quelles sont les données disponibles au sein de la structure et quel est leur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emplacement ? </w:t>
      </w:r>
    </w:p>
    <w:p>
      <w:pPr>
        <w:autoSpaceDN w:val="0"/>
        <w:autoSpaceDE w:val="0"/>
        <w:widowControl/>
        <w:spacing w:line="247" w:lineRule="auto" w:before="2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Quelle est la qualité de ces données ? </w:t>
      </w:r>
    </w:p>
    <w:p>
      <w:pPr>
        <w:autoSpaceDN w:val="0"/>
        <w:tabs>
          <w:tab w:pos="720" w:val="left"/>
        </w:tabs>
        <w:autoSpaceDE w:val="0"/>
        <w:widowControl/>
        <w:spacing w:line="252" w:lineRule="auto" w:before="2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Parmi ces données, quelles sont celles qui peuvent être publiées et partagées (avant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ou après traitement) ? </w:t>
      </w:r>
    </w:p>
    <w:p>
      <w:pPr>
        <w:autoSpaceDN w:val="0"/>
        <w:autoSpaceDE w:val="0"/>
        <w:widowControl/>
        <w:spacing w:line="247" w:lineRule="auto" w:before="2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Quelles sont celles qui sont les plus pertinentes et les plus utiles ? </w:t>
      </w:r>
    </w:p>
    <w:p>
      <w:pPr>
        <w:autoSpaceDN w:val="0"/>
        <w:tabs>
          <w:tab w:pos="720" w:val="left"/>
        </w:tabs>
        <w:autoSpaceDE w:val="0"/>
        <w:widowControl/>
        <w:spacing w:line="252" w:lineRule="auto" w:before="2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Quelles sont les étapes à suivre pour procéder à la publication des données sous un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format optimum qui favorisera la réutilisation de ces données ? </w:t>
      </w:r>
    </w:p>
    <w:p>
      <w:pPr>
        <w:autoSpaceDN w:val="0"/>
        <w:autoSpaceDE w:val="0"/>
        <w:widowControl/>
        <w:spacing w:line="245" w:lineRule="auto" w:before="3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Sous quelles licences de réutilisation peuvent être publiées ces données ? </w:t>
      </w:r>
    </w:p>
    <w:p>
      <w:pPr>
        <w:autoSpaceDN w:val="0"/>
        <w:autoSpaceDE w:val="0"/>
        <w:widowControl/>
        <w:spacing w:line="250" w:lineRule="auto" w:before="236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 rôle d’un inventaire de données est exactement de répondre à ces questions épineuses 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 résoudre des différentes problématiques administratives rencontrées dans la publication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 données afin d’en faciliter la réalisation technique. L’objectif premier est de transformer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 processus de publication de données en un problème uniquement technique réalisable par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n’importe quel agent sans nécessité de validation hiérarchique. En détail, le rôle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l’inventaire est de : </w:t>
      </w:r>
    </w:p>
    <w:p>
      <w:pPr>
        <w:autoSpaceDN w:val="0"/>
        <w:autoSpaceDE w:val="0"/>
        <w:widowControl/>
        <w:spacing w:line="214" w:lineRule="auto" w:before="21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1.</w:t>
      </w:r>
      <w:r>
        <w:rPr>
          <w:rFonts w:ascii="Calibri" w:hAnsi="Calibri" w:eastAsia="Calibri"/>
          <w:b w:val="0"/>
          <w:i w:val="0"/>
          <w:color w:val="000000"/>
          <w:sz w:val="24"/>
        </w:rPr>
        <w:t>Référencer l’ensemble du patrimoine de données de la structure publique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720" w:val="left"/>
          <w:tab w:pos="1080" w:val="left"/>
          <w:tab w:pos="1440" w:val="left"/>
        </w:tabs>
        <w:autoSpaceDE w:val="0"/>
        <w:widowControl/>
        <w:spacing w:line="245" w:lineRule="auto" w:before="76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2.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Répertorier les résultats de l’analyse de chaque source de données. Cette analyse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couvre les sujets suivants : 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a.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 collecte des informations relatives aux données (voir la section 6 de ce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document « Métadonnées ») ; </w:t>
      </w:r>
    </w:p>
    <w:p>
      <w:pPr>
        <w:autoSpaceDN w:val="0"/>
        <w:autoSpaceDE w:val="0"/>
        <w:widowControl/>
        <w:spacing w:line="214" w:lineRule="auto" w:before="484" w:after="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3"/>
        </w:rPr>
        <w:t>1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Cette étape permettra, le cas échéant, de détecter des duplications d’efforts potentiels.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1"/>
        <w:gridCol w:w="4551"/>
      </w:tblGrid>
      <w:tr>
        <w:trPr>
          <w:trHeight w:hRule="exact" w:val="470"/>
        </w:trPr>
        <w:tc>
          <w:tcPr>
            <w:tcW w:type="dxa" w:w="8126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Guide méthodologique pour la mise en œuvre d’un inventaire de données </w:t>
            </w:r>
          </w:p>
        </w:tc>
        <w:tc>
          <w:tcPr>
            <w:tcW w:type="dxa" w:w="902"/>
            <w:tcBorders>
              <w:top w:sz="3.2000000000007276" w:val="single" w:color="#000000"/>
            </w:tcBorders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4"/>
              </w:rPr>
              <w:t xml:space="preserve">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080" w:right="144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b.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 classification des données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c.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 qualité des données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d.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traitements à effectuer sur les données avant publication ; </w:t>
      </w:r>
      <w:r>
        <w:rPr>
          <w:rFonts w:ascii="Calibri" w:hAnsi="Calibri" w:eastAsia="Calibri"/>
          <w:b w:val="0"/>
          <w:i w:val="0"/>
          <w:color w:val="000000"/>
          <w:sz w:val="24"/>
        </w:rPr>
        <w:t>e.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L’intérêt de ces données pour les réutilisateurs potentiels.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7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3.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Associer une licence de réutilisation de ces données en fonction du cadre légal des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licences de réutilisation et de l’origine des données.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7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4.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Mettre à disposition des réutilisateurs (internes et externes à l’Administration) les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informations de l’inventaire afin de faciliter les demandes de publication. </w:t>
      </w:r>
    </w:p>
    <w:p>
      <w:pPr>
        <w:autoSpaceDN w:val="0"/>
        <w:autoSpaceDE w:val="0"/>
        <w:widowControl/>
        <w:spacing w:line="245" w:lineRule="auto" w:before="236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Concernant le point 2.c, l’évaluation de la qualité d’un jeu de données s’intéresse à la qualité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intrinsèque des données ainsi que leur capacité à être exploitées sans difficulté et à être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croisés avec d’autre jeux de données. Les critères de qualité impliquent en particulier les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éléments suivants : </w:t>
      </w:r>
    </w:p>
    <w:p>
      <w:pPr>
        <w:autoSpaceDN w:val="0"/>
        <w:tabs>
          <w:tab w:pos="1080" w:val="left"/>
        </w:tabs>
        <w:autoSpaceDE w:val="0"/>
        <w:widowControl/>
        <w:spacing w:line="259" w:lineRule="auto" w:before="190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données sont publiées avec une licence de réutilisation ouverte 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données utilisent des formats ouverts 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données sont structurées et exploitables informatiquement (machine-readable)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données numériques tabulaires sont sous format long. </w:t>
      </w:r>
    </w:p>
    <w:p>
      <w:pPr>
        <w:autoSpaceDN w:val="0"/>
        <w:tabs>
          <w:tab w:pos="720" w:val="left"/>
        </w:tabs>
        <w:autoSpaceDE w:val="0"/>
        <w:widowControl/>
        <w:spacing w:line="264" w:lineRule="auto" w:before="3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données sont des données brutes désagrégées 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données sont à jour au regard du cycle de collecte 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données utilisent les standards de données adoptés par le comité de pilotage au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niveau national 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données utilisent les référentiels communs de l’administration et les référentiels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sectoriels 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données sont documentées 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données sont formellement valides au regard du dictionnaire de données. </w:t>
      </w:r>
    </w:p>
    <w:p>
      <w:pPr>
        <w:autoSpaceDN w:val="0"/>
        <w:autoSpaceDE w:val="0"/>
        <w:widowControl/>
        <w:spacing w:line="245" w:lineRule="auto" w:before="236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Une des priorités de l’inventaire est, d’une part, d’évaluer dans quelle mesure les données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répondent à ces critères, et d’autre part, d’identifier les transformations (transcodage,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restructuration, anonymisation, etc.) à appliquer pour maximiser la facilité de réutilisation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des données avant leur publication. </w:t>
      </w:r>
    </w:p>
    <w:p>
      <w:pPr>
        <w:autoSpaceDN w:val="0"/>
        <w:autoSpaceDE w:val="0"/>
        <w:widowControl/>
        <w:spacing w:line="197" w:lineRule="auto" w:before="322" w:after="0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26"/>
        </w:rPr>
        <w:t xml:space="preserve">Définition : Inventaire de données vs. Annuaire de données </w:t>
      </w:r>
    </w:p>
    <w:p>
      <w:pPr>
        <w:autoSpaceDN w:val="0"/>
        <w:autoSpaceDE w:val="0"/>
        <w:widowControl/>
        <w:spacing w:line="254" w:lineRule="auto" w:before="196" w:after="304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 terme « inventaire de données » nécessite d’être défini précisément. Le terme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 inventaire » est issu du domaine de la gestion des stocks et représente généralement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l’exécution d’une tâche de référencement d’un ensemble de produits (ici des sources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données). Ce référencement est généralement une tâche administrative exécutée de façon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ponctuelle sur une courte période, parfois par des personnels extérieurs à la structure et qui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sert principalement aux gestionnaires de stock. Cette définition est peu appropriée pour 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cas des données. En effet, d’une part, il est quasi impossible dans les grosses structures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conduire un processus exhaustif de référencement des données réparties sur des dizaines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d’ordinateurs (voir même dans des documents papiers) dans des dizaines de bureaux. D’autre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part, l’objectif n’est pas de conduire régulièrement une évaluation du patrimoine de données,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mais de mettre à jour, au fur et à mesure, l’outil en fonction de l’évolution du cycle de vie des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1"/>
        <w:gridCol w:w="4551"/>
      </w:tblGrid>
      <w:tr>
        <w:trPr>
          <w:trHeight w:hRule="exact" w:val="470"/>
        </w:trPr>
        <w:tc>
          <w:tcPr>
            <w:tcW w:type="dxa" w:w="8126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Guide méthodologique pour la mise en œuvre d’un inventaire de données </w:t>
            </w:r>
          </w:p>
        </w:tc>
        <w:tc>
          <w:tcPr>
            <w:tcW w:type="dxa" w:w="902"/>
            <w:tcBorders>
              <w:top w:sz="3.2000000000007276" w:val="single" w:color="#000000"/>
            </w:tcBorders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4"/>
              </w:rPr>
              <w:t xml:space="preserve">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données (arrêt de certains jeux de données, modification, mise en place de nouvelles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collectes, etc.). Enfin, l’inventaire de données est un outil utile à l’ensemble de la structure 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à tout agent qui recherche des données. De ce fait, un terme adapté pourrait être « annuaire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 données » qui décrit de façon plus appropriée, l’utilisation de cet outil et les principes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mise à jour au cours du temps. </w:t>
      </w:r>
    </w:p>
    <w:p>
      <w:pPr>
        <w:autoSpaceDN w:val="0"/>
        <w:autoSpaceDE w:val="0"/>
        <w:widowControl/>
        <w:spacing w:line="245" w:lineRule="auto" w:before="242" w:after="0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26"/>
        </w:rPr>
        <w:t xml:space="preserve">Portée des données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Une des questions principales à résoudre avant de s’engager dans la mise en place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l’inventaire est de savoir quelles données doivent être incluses dans l’inventaire. A partir des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objectifs définis dans la première partie de cette section, il est important que l’inventaire : </w:t>
      </w:r>
    </w:p>
    <w:p>
      <w:pPr>
        <w:autoSpaceDN w:val="0"/>
        <w:tabs>
          <w:tab w:pos="1080" w:val="left"/>
          <w:tab w:pos="1440" w:val="left"/>
        </w:tabs>
        <w:autoSpaceDE w:val="0"/>
        <w:widowControl/>
        <w:spacing w:line="257" w:lineRule="auto" w:before="14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Soit un outil utile au sein de la structure et donc :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Couvre les données collectées et les données produites par la structure ;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Couvre toutes les catégories de données y compris celles qui ne peuvent pas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être rendues publiques (mais qui sont utilisées/utilisables en interne). </w:t>
      </w:r>
    </w:p>
    <w:p>
      <w:pPr>
        <w:autoSpaceDN w:val="0"/>
        <w:autoSpaceDE w:val="0"/>
        <w:widowControl/>
        <w:spacing w:line="254" w:lineRule="auto" w:before="30" w:after="0"/>
        <w:ind w:left="720" w:right="20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Permette de détecter les duplications d’efforts de collecte/production. Pour ce faire,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l’inventaire se focalisera uniquement sur les données primaires collectées ou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produites par la structure elle-même (et non les données en provenance d’autres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structures). </w:t>
      </w:r>
    </w:p>
    <w:p>
      <w:pPr>
        <w:autoSpaceDN w:val="0"/>
        <w:autoSpaceDE w:val="0"/>
        <w:widowControl/>
        <w:spacing w:line="197" w:lineRule="auto" w:before="332" w:after="0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32"/>
        </w:rPr>
        <w:t xml:space="preserve">Acteurs d’un inventaire de données </w:t>
      </w:r>
    </w:p>
    <w:p>
      <w:pPr>
        <w:autoSpaceDN w:val="0"/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 réalisation d’un inventaire de données implique plusieurs acteurs internes et externes à 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structure : </w:t>
      </w:r>
    </w:p>
    <w:p>
      <w:pPr>
        <w:autoSpaceDN w:val="0"/>
        <w:tabs>
          <w:tab w:pos="720" w:val="left"/>
          <w:tab w:pos="1080" w:val="left"/>
          <w:tab w:pos="1440" w:val="left"/>
        </w:tabs>
        <w:autoSpaceDE w:val="0"/>
        <w:widowControl/>
        <w:spacing w:line="257" w:lineRule="auto" w:before="19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COPIL Open Data et ADD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: Le COPIL Open Data et l’ADD définissent et adoptent les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éléments structurants de l’inventaire de données qui 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Assurent l’homogénéité des données d’inventaires entre les structures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publiques, notamment au niveau de la liste des métadonnées à répertorier ; </w:t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Mettent en place, en coordination avec les autorités compétentes, un cadre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légal commun en particulier sur les licences de données ;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Mettent en place les outils nécessaires à la réalisation de l’inventaire. Ces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outils incluent notamment les modèles (« template ») de collecte de données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 la plateforme d’inventaire ;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Développent les capacités des ROD pour exécuter les différentes tâches de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l’inventaire. </w:t>
      </w:r>
    </w:p>
    <w:p>
      <w:pPr>
        <w:autoSpaceDN w:val="0"/>
        <w:tabs>
          <w:tab w:pos="720" w:val="left"/>
          <w:tab w:pos="1080" w:val="left"/>
          <w:tab w:pos="1440" w:val="left"/>
        </w:tabs>
        <w:autoSpaceDE w:val="0"/>
        <w:widowControl/>
        <w:spacing w:line="257" w:lineRule="auto" w:before="30" w:after="934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Premier Responsable de la structure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Le rôle du premier responsable de la structure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est double 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Mobiliser l’ensemble des collaborateurs concernés et positionner la mise en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œuvre de l’inventaire comme une action stratégique de la structure ; </w:t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Valider formellement l’inventaire afin que les informations contenues,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notamment la classification des données fassent référence au sein de la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structure.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1"/>
        <w:gridCol w:w="4551"/>
      </w:tblGrid>
      <w:tr>
        <w:trPr>
          <w:trHeight w:hRule="exact" w:val="470"/>
        </w:trPr>
        <w:tc>
          <w:tcPr>
            <w:tcW w:type="dxa" w:w="8126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Guide méthodologique pour la mise en œuvre d’un inventaire de données </w:t>
            </w:r>
          </w:p>
        </w:tc>
        <w:tc>
          <w:tcPr>
            <w:tcW w:type="dxa" w:w="902"/>
            <w:tcBorders>
              <w:top w:sz="3.2000000000007276" w:val="single" w:color="#000000"/>
            </w:tcBorders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4"/>
              </w:rPr>
              <w:t xml:space="preserve">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88" w:right="20" w:firstLine="0"/>
        <w:jc w:val="righ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ROD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Le ROD est la cheville ouvrière de l’inventaire. Son rôle est de coordonner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l’ensemble des activités liées à la réalisation de l’inventaire et d’assurer le suivi 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l’évaluation. Dans les petites structures, le ROD pourrait exécuter lui-même les tâches.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Chargé d’accès à l’information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Le chargé d’accès à l’information est un acteur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important de l’inventaire. Par son rôle, il a une visibilité globale sur les requêtes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soumises à sa structure par l’ensemble des acteurs de la société marocaine. D’une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part, il est en partie informé des sources de données existantes, et d’autre part, il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pourrait être à même capable d’identifier la pertinence des données et donc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contribuer à la priorisation de leur publication. Enfin, il contribue à la classification des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données en apportant son expertise en matière de la mise en œuvre de la loi n°31-13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relative au droit d’accès à l’information. </w:t>
      </w:r>
    </w:p>
    <w:p>
      <w:pPr>
        <w:autoSpaceDN w:val="0"/>
        <w:autoSpaceDE w:val="0"/>
        <w:widowControl/>
        <w:spacing w:line="257" w:lineRule="auto" w:before="30" w:after="0"/>
        <w:ind w:left="720" w:right="20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Responsable des données personnelles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Le responsable des données personnelles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contribue à la classification des données en apportant son expertise sur la mise 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œuvre de la loi n°09-08 relative à la protection des personnes physiques à l’égard du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traitement des données à caractère personnel notamment dans l’identification et 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gestion des données personnelles dans les données de l’inventaire. </w:t>
      </w:r>
    </w:p>
    <w:p>
      <w:pPr>
        <w:autoSpaceDN w:val="0"/>
        <w:tabs>
          <w:tab w:pos="720" w:val="left"/>
        </w:tabs>
        <w:autoSpaceDE w:val="0"/>
        <w:widowControl/>
        <w:spacing w:line="264" w:lineRule="auto" w:before="3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Responsable de la cybersécurité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Le responsable de la cybersécurité contribue à la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classification des données en apportant son expertise en matière de la loi n°05-20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relative à la cybersécurité et l’identification des ressources de données classifiées.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L’entité en charge des archives 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L’entité en charge des archives contribue à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l’identification des documents, informations et données qui peuvent être publiées en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relation avec la loi n°69.99 relative aux archives. </w:t>
      </w:r>
    </w:p>
    <w:p>
      <w:pPr>
        <w:autoSpaceDN w:val="0"/>
        <w:autoSpaceDE w:val="0"/>
        <w:widowControl/>
        <w:spacing w:line="254" w:lineRule="auto" w:before="52" w:after="0"/>
        <w:ind w:left="720" w:right="20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Service Informatique, Direction des statistiques &amp; Gestionnaires de données, ou </w:t>
      </w:r>
      <w:r>
        <w:rPr>
          <w:rFonts w:ascii="Calibri" w:hAnsi="Calibri" w:eastAsia="Calibri"/>
          <w:b/>
          <w:i w:val="0"/>
          <w:color w:val="000000"/>
          <w:sz w:val="24"/>
        </w:rPr>
        <w:t>équivalent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Ces acteurs sont des contributeurs potentiels à l’identification des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sources de données. Ils seront donc les acteurs prioritairement impliqués lors de 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phase de cartographie des sources de données. </w:t>
      </w:r>
    </w:p>
    <w:p>
      <w:pPr>
        <w:autoSpaceDN w:val="0"/>
        <w:autoSpaceDE w:val="0"/>
        <w:widowControl/>
        <w:spacing w:line="254" w:lineRule="auto" w:before="30" w:after="0"/>
        <w:ind w:left="720" w:right="22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Analystes/statisticiens/Réutilisateurs externes/autres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Ces acteurs sont les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réutilisateurs potentiels des données, et donc les utilisateurs naturels de l’inventaire.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Ils contribuent à la priorisation des publications. </w:t>
      </w:r>
    </w:p>
    <w:p>
      <w:pPr>
        <w:autoSpaceDN w:val="0"/>
        <w:autoSpaceDE w:val="0"/>
        <w:widowControl/>
        <w:spacing w:line="197" w:lineRule="auto" w:before="332" w:after="0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32"/>
        </w:rPr>
        <w:t xml:space="preserve">Enrôlement des structures publiques </w:t>
      </w:r>
    </w:p>
    <w:p>
      <w:pPr>
        <w:autoSpaceDN w:val="0"/>
        <w:autoSpaceDE w:val="0"/>
        <w:widowControl/>
        <w:spacing w:line="250" w:lineRule="auto" w:before="204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 principe élémentaire de l’inventaire est de construire une cartographie globale et complète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 l’ensemble du patrimoine de données de l’Administration marocaine. Cette cartographie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globale est constituée de l’ensemble des inventaires de chaque structure publique. Il est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évident que plus l’inventaire est riche plus il est utile, c’est-à-dire que les données référencées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généreront plus de valeur ajoutée grâce à leurs croisements et analyses. Il est donc essentiel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que toutes les structures publiques s’engagent dans la constitution de leur propre inventaire. </w:t>
      </w:r>
    </w:p>
    <w:p>
      <w:pPr>
        <w:autoSpaceDN w:val="0"/>
        <w:autoSpaceDE w:val="0"/>
        <w:widowControl/>
        <w:spacing w:line="197" w:lineRule="auto" w:before="2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Cependant, il est également important de considérer deux points : </w:t>
      </w:r>
    </w:p>
    <w:p>
      <w:pPr>
        <w:autoSpaceDN w:val="0"/>
        <w:autoSpaceDE w:val="0"/>
        <w:widowControl/>
        <w:spacing w:line="245" w:lineRule="auto" w:before="238" w:after="32"/>
        <w:ind w:left="720" w:right="20" w:hanging="36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1.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Comme toute innovation ou toute révolution notamment celle relative au secteur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numérique, les structures publiques ne réagiraient pas toutes de la même manière à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 demande de mise en place d’un inventaire. Certaines structures, notamment les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pionnières en la matière, ont probablement déjà commencé à répertorier leur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1"/>
        <w:gridCol w:w="4551"/>
      </w:tblGrid>
      <w:tr>
        <w:trPr>
          <w:trHeight w:hRule="exact" w:val="470"/>
        </w:trPr>
        <w:tc>
          <w:tcPr>
            <w:tcW w:type="dxa" w:w="8126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Guide méthodologique pour la mise en œuvre d’un inventaire de données </w:t>
            </w:r>
          </w:p>
        </w:tc>
        <w:tc>
          <w:tcPr>
            <w:tcW w:type="dxa" w:w="902"/>
            <w:tcBorders>
              <w:top w:sz="3.2000000000007276" w:val="single" w:color="#000000"/>
            </w:tcBorders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4"/>
              </w:rPr>
              <w:t xml:space="preserve">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72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patrimoine de données et donc s’engageraient naturellement dans ce processus 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présenteraient des résultats rapides. Ensuite, d’autres structures, voyant les premiers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résultats des pionniers seront motivées à rejoindre le mouvement et ainsi de suite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jusqu’à une éventuelle adhésion des autres structures audit mouvement. Il est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essentiel de prendre compte cette dimension de motivation dans la sélection des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premières structures à implémenter l’inventaire. Les structures qui n’ont pas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champions internes, ou ayant des contraintes, pourraient produire des résultats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faible qualité, même si elles ont des données importantes. Il est donc essentiel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s’appuyer en premier lieu sur les structures pionnières et de mettre en place une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approche en cycles qui intègre des plaidoyers et la présentation des succès des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structures pionnières auprès des structures qui ne sont pas encore engagées. </w:t>
      </w:r>
    </w:p>
    <w:p>
      <w:pPr>
        <w:autoSpaceDN w:val="0"/>
        <w:autoSpaceDE w:val="0"/>
        <w:widowControl/>
        <w:spacing w:line="254" w:lineRule="auto" w:before="76" w:after="0"/>
        <w:ind w:left="720" w:right="20" w:hanging="36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2.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L’inventaire de données au sein d’une structure publique n’est qu’un outil et élément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d’une stratégie globale de mise en œuvre d’une initiative Open Data au sein de cette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structure. Il n’est utile et indispensable que si les agents de cette structure l’utilisent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pour analyser et exploiter des données pour la prise de décision, la définition des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politiques publiques, etc. Il est donc important de mettre en place au sein des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structures pionnières, en même temps que l’inventaire, les autres éléments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(développement de capacités techniques, conduite du changement, développement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 cas d’usage) de l’initiative Open data. En d’autres termes, il conviendrait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solliciter les structures publiques pionnières pour qu’elles définissent une stratégie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Open data qui intègre l’inventaire et les autres éléments. En l’absence des autres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éléments, l’intérêt d’une structure publique pour mobiliser ses responsables et agents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afin de mettre en place un inventaire serait faible. </w:t>
      </w:r>
    </w:p>
    <w:p>
      <w:pPr>
        <w:autoSpaceDN w:val="0"/>
        <w:autoSpaceDE w:val="0"/>
        <w:widowControl/>
        <w:spacing w:line="197" w:lineRule="auto" w:before="334" w:after="0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32"/>
        </w:rPr>
        <w:t xml:space="preserve">Mise en œuvre de l’inventaire </w:t>
      </w:r>
    </w:p>
    <w:p>
      <w:pPr>
        <w:autoSpaceDN w:val="0"/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Cette section présente l’approche proposée pour la mise en place de l’inventaire qui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s’organise autour de trois axes : </w:t>
      </w:r>
    </w:p>
    <w:p>
      <w:pPr>
        <w:autoSpaceDN w:val="0"/>
        <w:tabs>
          <w:tab w:pos="720" w:val="left"/>
        </w:tabs>
        <w:autoSpaceDE w:val="0"/>
        <w:widowControl/>
        <w:spacing w:line="264" w:lineRule="auto" w:before="19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 définition des priorités stratégiques et la mise en place d’une structure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organisationnelle 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 mobilisation et la sensibilisation des personnels 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 cartographie des données 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 classification des données 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 priorisation des données 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 publication de l’inventaire. </w:t>
      </w:r>
    </w:p>
    <w:p>
      <w:pPr>
        <w:autoSpaceDN w:val="0"/>
        <w:autoSpaceDE w:val="0"/>
        <w:widowControl/>
        <w:spacing w:line="197" w:lineRule="auto" w:before="23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Ces étapes sont détaillées ci-dessous. </w:t>
      </w:r>
    </w:p>
    <w:p>
      <w:pPr>
        <w:autoSpaceDN w:val="0"/>
        <w:autoSpaceDE w:val="0"/>
        <w:widowControl/>
        <w:spacing w:line="247" w:lineRule="auto" w:before="246" w:after="238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26"/>
        </w:rPr>
        <w:t xml:space="preserve">Structure organisationnelle &amp; approche stratégique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 mise en place d’un inventaire au sein d’une structure publique nécessite de conduire des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investigations au sein de toutes ses entités. Pour certaines structures de taille importante,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cette approche devrait se faire étape par étape. Il conviendrait donc au premier responsable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 la structure de définir, en collaboration avec le ROD, les priorités pour le déploiement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l’inventaire.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1"/>
        <w:gridCol w:w="4551"/>
      </w:tblGrid>
      <w:tr>
        <w:trPr>
          <w:trHeight w:hRule="exact" w:val="470"/>
        </w:trPr>
        <w:tc>
          <w:tcPr>
            <w:tcW w:type="dxa" w:w="8126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Guide méthodologique pour la mise en œuvre d’un inventaire de données </w:t>
            </w:r>
          </w:p>
        </w:tc>
        <w:tc>
          <w:tcPr>
            <w:tcW w:type="dxa" w:w="902"/>
            <w:tcBorders>
              <w:top w:sz="3.2000000000007276" w:val="single" w:color="#000000"/>
            </w:tcBorders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4"/>
              </w:rPr>
              <w:t xml:space="preserve">8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Quatre options principales peuvent être considérées : </w:t>
      </w:r>
    </w:p>
    <w:p>
      <w:pPr>
        <w:autoSpaceDN w:val="0"/>
        <w:autoSpaceDE w:val="0"/>
        <w:widowControl/>
        <w:spacing w:line="257" w:lineRule="auto" w:before="188" w:after="0"/>
        <w:ind w:left="720" w:right="20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Approche stratégique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Cette approche consiste à mener une réflexion sur les priorités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 la structure, ou ses défis, et identifier les sujets sur lesquels une approche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 données » pourrait apporter des solutions. A partir de l’identification du sujet, il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serait possible d’identifier les données nécessaires pour conduire la tâche, et orienter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 développement de l’inventaire sur la recherche de ces données. </w:t>
      </w:r>
    </w:p>
    <w:p>
      <w:pPr>
        <w:autoSpaceDN w:val="0"/>
        <w:autoSpaceDE w:val="0"/>
        <w:widowControl/>
        <w:spacing w:line="254" w:lineRule="auto" w:before="28" w:after="0"/>
        <w:ind w:left="720" w:right="20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Approche organisationnelle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Cette approche consiste à sélectionner un ou plusieurs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directions/départements et conduire l’inventaire en leur sein. Cette démarche serait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ensuite étendue aux autres sous-structures au fur et à mesure. </w:t>
      </w:r>
    </w:p>
    <w:p>
      <w:pPr>
        <w:autoSpaceDN w:val="0"/>
        <w:autoSpaceDE w:val="0"/>
        <w:widowControl/>
        <w:spacing w:line="254" w:lineRule="auto" w:before="30" w:after="0"/>
        <w:ind w:left="720" w:right="22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Approche pragmatique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Cette approche consiste à focaliser les efforts d’abord sur les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sources de données facilement identifiables au sein de la structure. Il s’agit par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exemple de travailler avec le service informatique, la direction des statistiques, 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service communication, etc. pour identifier facilement les données. </w:t>
      </w:r>
    </w:p>
    <w:p>
      <w:pPr>
        <w:autoSpaceDN w:val="0"/>
        <w:autoSpaceDE w:val="0"/>
        <w:widowControl/>
        <w:spacing w:line="257" w:lineRule="auto" w:before="30" w:after="0"/>
        <w:ind w:left="720" w:right="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Approche basée sur la demande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: Cette approche consiste à mener une enquête 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amont du démarrage de la tâche inventaire, et ce, auprès des réutilisateurs potentiels </w:t>
      </w:r>
      <w:r>
        <w:rPr>
          <w:rFonts w:ascii="Calibri" w:hAnsi="Calibri" w:eastAsia="Calibri"/>
          <w:b w:val="0"/>
          <w:i w:val="0"/>
          <w:color w:val="000000"/>
          <w:sz w:val="24"/>
        </w:rPr>
        <w:t>internes à la structure, au sein du gouvernement et auprès des acteurs non-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gouvernementaux. Cette enquête permettrait de mettre en lumière les thèmes et les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données pour lesquels une forte demande existe et à laquelle il convient de répondre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 priorité. </w:t>
      </w:r>
    </w:p>
    <w:p>
      <w:pPr>
        <w:autoSpaceDN w:val="0"/>
        <w:autoSpaceDE w:val="0"/>
        <w:widowControl/>
        <w:spacing w:line="245" w:lineRule="auto" w:before="238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 est important de noter que ces approches ne sont pas mutuellement exclusives. Au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contraire, il est recommandé de les associer pour obtenir des meilleurs résultats et structurer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l’activité. </w:t>
      </w:r>
    </w:p>
    <w:p>
      <w:pPr>
        <w:autoSpaceDN w:val="0"/>
        <w:autoSpaceDE w:val="0"/>
        <w:widowControl/>
        <w:spacing w:line="245" w:lineRule="auto" w:before="2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L’ordre de présentation ci-dessous représente l’articulation optimum de la structuration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 tâche : </w:t>
      </w:r>
    </w:p>
    <w:p>
      <w:pPr>
        <w:autoSpaceDN w:val="0"/>
        <w:autoSpaceDE w:val="0"/>
        <w:widowControl/>
        <w:spacing w:line="245" w:lineRule="auto" w:before="238" w:after="0"/>
        <w:ind w:left="720" w:right="20" w:hanging="36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1.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Dans un premier temps, et dans le cadre du plan d’action annuel Open Data de 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structure, le premier responsable de la structure définit, en collaboration avec le ROD,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priorités stratégiques.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7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2.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partir de là, le ROD identifie les entités (directions/départements/divisions, etc.) à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impliquer. </w:t>
      </w:r>
    </w:p>
    <w:p>
      <w:pPr>
        <w:autoSpaceDN w:val="0"/>
        <w:autoSpaceDE w:val="0"/>
        <w:widowControl/>
        <w:spacing w:line="245" w:lineRule="auto" w:before="74" w:after="0"/>
        <w:ind w:left="720" w:right="20" w:hanging="36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3.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Ensuite, au sein de chaque entité, l’approche pragmatique se concentrerait d’abord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sur les sources de données facilement identifiables avant d’étendre l’activité à toute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 structure.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76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4.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Enfin, et en parallèle, des consultations avec les réutilisateurs permettraient de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structurer la recherche sur des données spécifiques. </w:t>
      </w:r>
    </w:p>
    <w:p>
      <w:pPr>
        <w:autoSpaceDN w:val="0"/>
        <w:autoSpaceDE w:val="0"/>
        <w:widowControl/>
        <w:spacing w:line="250" w:lineRule="auto" w:before="238" w:after="118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Conformément à ses missions, le ROD est le responsable de la coordination de la tâche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inventaire. Cependant, il est fortement recommandé de mettre en place un groupe de travail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multi-expertise (légal, technique, etc.) pour organiser et implémenter la tâche. Chaque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membre du groupe sera en charge d’une partie de la cartographie, et l’ensemble du groupe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sera en charge des tâches de classification et du catalogage des données. En fonction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l’ampleur de la tâche, et de la volonté du premier responsable de la structure de couvrir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rapidement un nombre important d’entités au sein de sa structure, il serait nécessaire de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1"/>
        <w:gridCol w:w="4551"/>
      </w:tblGrid>
      <w:tr>
        <w:trPr>
          <w:trHeight w:hRule="exact" w:val="470"/>
        </w:trPr>
        <w:tc>
          <w:tcPr>
            <w:tcW w:type="dxa" w:w="8126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Guide méthodologique pour la mise en œuvre d’un inventaire de données </w:t>
            </w:r>
          </w:p>
        </w:tc>
        <w:tc>
          <w:tcPr>
            <w:tcW w:type="dxa" w:w="902"/>
            <w:tcBorders>
              <w:top w:sz="3.2000000000007276" w:val="single" w:color="#000000"/>
            </w:tcBorders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4"/>
              </w:rPr>
              <w:t xml:space="preserve">9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mettre en place plusieurs sous-groupes de travail ; un sous-groupe au sein de chaque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direction par exemple ; avec un représentant de chaque sous-groupe au sein du groupe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travail global de la structure, coordonné par le ROD. </w:t>
      </w:r>
    </w:p>
    <w:p>
      <w:pPr>
        <w:autoSpaceDN w:val="0"/>
        <w:autoSpaceDE w:val="0"/>
        <w:widowControl/>
        <w:spacing w:line="245" w:lineRule="auto" w:before="244" w:after="0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26"/>
        </w:rPr>
        <w:t xml:space="preserve">Sensibilisation et mobilisation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Une fois que l’approche est finalisée et que le ou les groupes de travail est/ sont identifié(s),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 première étape consisterait à mobiliser et sensibiliser l’ensemble des responsables 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agents de la structure qui vont être impliqués. </w:t>
      </w:r>
    </w:p>
    <w:p>
      <w:pPr>
        <w:autoSpaceDN w:val="0"/>
        <w:autoSpaceDE w:val="0"/>
        <w:widowControl/>
        <w:spacing w:line="197" w:lineRule="auto" w:before="2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Cette sensibilisation prendra plusieurs formes : </w:t>
      </w:r>
    </w:p>
    <w:p>
      <w:pPr>
        <w:autoSpaceDN w:val="0"/>
        <w:autoSpaceDE w:val="0"/>
        <w:widowControl/>
        <w:spacing w:line="257" w:lineRule="auto" w:before="192" w:after="0"/>
        <w:ind w:left="720" w:right="20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Une approche formelle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Il est recommandé au premier responsable de la structure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publique de sensibiliser les collaborateurs concernés à l’importance de la tâche pour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 structure (réunion formelle, note de service…) et de nommer officiellement (note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 service…) les membres du ou des groupes de travail ainsi que leurs missions 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prérogatives. </w:t>
      </w:r>
    </w:p>
    <w:p>
      <w:pPr>
        <w:autoSpaceDN w:val="0"/>
        <w:autoSpaceDE w:val="0"/>
        <w:widowControl/>
        <w:spacing w:line="257" w:lineRule="auto" w:before="30" w:after="0"/>
        <w:ind w:left="720" w:right="20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Une approche didactique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En dehors de l’aspect formel, il est également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recommandé de sensibiliser les responsables et agents impliqués sur l’intérêt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l’inventaire, les opportunités et bénéfices, et l’intérêt des approches Open data. 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compréhension de l’exercice et son apport potentiel sont des éléments motivants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pour les responsables et agents et favorisent leur implication et contribution. </w:t>
      </w:r>
    </w:p>
    <w:p>
      <w:pPr>
        <w:autoSpaceDN w:val="0"/>
        <w:autoSpaceDE w:val="0"/>
        <w:widowControl/>
        <w:spacing w:line="245" w:lineRule="auto" w:before="244" w:after="0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26"/>
        </w:rPr>
        <w:t xml:space="preserve">Processus de cartographie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Une fois la sensibilisation des personnels effectuée, la cartographie des sources de données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2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pourra débuter. </w:t>
      </w:r>
    </w:p>
    <w:p>
      <w:pPr>
        <w:autoSpaceDN w:val="0"/>
        <w:autoSpaceDE w:val="0"/>
        <w:widowControl/>
        <w:spacing w:line="197" w:lineRule="auto" w:before="23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Dans chaque entité impliquée, il est recommandé d’adopter une approche pragmatique : </w:t>
      </w:r>
    </w:p>
    <w:p>
      <w:pPr>
        <w:autoSpaceDN w:val="0"/>
        <w:tabs>
          <w:tab w:pos="1080" w:val="left"/>
          <w:tab w:pos="1440" w:val="left"/>
        </w:tabs>
        <w:autoSpaceDE w:val="0"/>
        <w:widowControl/>
        <w:spacing w:line="252" w:lineRule="auto" w:before="23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1.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Cartographier les sources de données facilement identifiables 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a.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systèmes d’information et e-services 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b.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données déjà publiées (statistiques…) et leurs sources 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c.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annuaires (services publics, habilitations…) 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d.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données interministérielles (budget, ODD, marchés publics…) 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e.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données utilisées pour les rapports, les prises de décision, et le suivi &amp;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évaluation 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f.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données mentionnées dans des accords de partage 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g.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demandes d’accès à l’information.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7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2.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Cartographier ensuite le reste des données digitales actives qui existent (démarche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bureau-par-bureau). </w:t>
      </w:r>
    </w:p>
    <w:p>
      <w:pPr>
        <w:autoSpaceDN w:val="0"/>
        <w:autoSpaceDE w:val="0"/>
        <w:widowControl/>
        <w:spacing w:line="197" w:lineRule="auto" w:before="76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3.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Cartographier enfin les données historiques et les données sous format papier. </w:t>
      </w:r>
    </w:p>
    <w:p>
      <w:pPr>
        <w:autoSpaceDN w:val="0"/>
        <w:autoSpaceDE w:val="0"/>
        <w:widowControl/>
        <w:spacing w:line="245" w:lineRule="auto" w:before="236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 cartographie des données consiste à relever un ensemble d’informations (métadonnées)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sur les données. La liste des métadonnées prioritaires et des métadonnées recommandées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est décrite dans la section « Les métadonnées à répertorier ». </w:t>
      </w:r>
    </w:p>
    <w:p>
      <w:pPr>
        <w:autoSpaceDN w:val="0"/>
        <w:autoSpaceDE w:val="0"/>
        <w:widowControl/>
        <w:spacing w:line="245" w:lineRule="auto" w:before="570" w:after="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3"/>
        </w:rPr>
        <w:t>2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Pour rappel, les données à cartographier sont toutes les données primaires de la structure, publiques ou non,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qui sont collectées par la structure.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1"/>
        <w:gridCol w:w="4551"/>
      </w:tblGrid>
      <w:tr>
        <w:trPr>
          <w:trHeight w:hRule="exact" w:val="470"/>
        </w:trPr>
        <w:tc>
          <w:tcPr>
            <w:tcW w:type="dxa" w:w="8126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Guide méthodologique pour la mise en œuvre d’un inventaire de données </w:t>
            </w:r>
          </w:p>
        </w:tc>
        <w:tc>
          <w:tcPr>
            <w:tcW w:type="dxa" w:w="902"/>
            <w:tcBorders>
              <w:top w:sz="3.2000000000007276" w:val="single" w:color="#000000"/>
            </w:tcBorders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4"/>
              </w:rPr>
              <w:t xml:space="preserve">10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 serait probablement difficile de renseigner certains champs ; ou d’autres champs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nécessiteraient des activités complémentaires (par exemple le dictionnaire de données ou 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schéma de validation). Les informations non disponibles ou qui nécessitent ces actions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particulières devraient être notées. Dans un premier temps, l’attention devrait être portée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sur les métadonnées obligatoires et ensuite sur les métadonnées recommandées. </w:t>
      </w:r>
    </w:p>
    <w:p>
      <w:pPr>
        <w:autoSpaceDN w:val="0"/>
        <w:autoSpaceDE w:val="0"/>
        <w:widowControl/>
        <w:spacing w:line="245" w:lineRule="auto" w:before="234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Concernant les sections « Classification des données » et « Ouverture du jeu de données »,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ces éléments pourraient être discutés avec le gestionnaire de la source de données 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renseignés si l’information existe. Dans le cas contraire, ces points sont traités dans les étapes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suivantes. </w:t>
      </w:r>
    </w:p>
    <w:p>
      <w:pPr>
        <w:autoSpaceDN w:val="0"/>
        <w:autoSpaceDE w:val="0"/>
        <w:widowControl/>
        <w:spacing w:line="245" w:lineRule="auto" w:before="244" w:after="0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26"/>
        </w:rPr>
        <w:t xml:space="preserve">Classification des données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 classification des données est le processus qui permet de définir qui peut accéder à quelles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données. </w:t>
      </w:r>
    </w:p>
    <w:p>
      <w:pPr>
        <w:autoSpaceDN w:val="0"/>
        <w:autoSpaceDE w:val="0"/>
        <w:widowControl/>
        <w:spacing w:line="197" w:lineRule="auto" w:before="23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L’objectif de ce processus est double : 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234" w:after="0"/>
        <w:ind w:left="360" w:right="273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1.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Identifier les données 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a.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Qui peuvent être rendues publiques directement. </w:t>
      </w:r>
    </w:p>
    <w:p>
      <w:pPr>
        <w:autoSpaceDN w:val="0"/>
        <w:autoSpaceDE w:val="0"/>
        <w:widowControl/>
        <w:spacing w:line="197" w:lineRule="auto" w:before="76" w:after="0"/>
        <w:ind w:left="108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b.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Qui peuvent être rendues publiques après expurgation ou anonymisation. </w:t>
      </w:r>
    </w:p>
    <w:p>
      <w:pPr>
        <w:autoSpaceDN w:val="0"/>
        <w:tabs>
          <w:tab w:pos="1440" w:val="left"/>
        </w:tabs>
        <w:autoSpaceDE w:val="0"/>
        <w:widowControl/>
        <w:spacing w:line="245" w:lineRule="auto" w:before="74" w:after="0"/>
        <w:ind w:left="108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c.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Qui nécessitent des habilitations spécifiques pour pouvoir être consultées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(données à accès restreint).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76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2.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Identifier la liste des traitements à appliquer pour que les données de catégorie (b)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puissent être rendues publiques. </w:t>
      </w:r>
    </w:p>
    <w:p>
      <w:pPr>
        <w:autoSpaceDN w:val="0"/>
        <w:autoSpaceDE w:val="0"/>
        <w:widowControl/>
        <w:spacing w:line="245" w:lineRule="auto" w:before="234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NB : Les données des catégories (a) et (b) (après traitement) entrent dans le cadre de l’Open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Data. Les données des catégories (b) (sans traitement) et (c) sont répertoriées dans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l’inventaire parce qu’elles peuvent être exploitées par les responsables et agents habilités 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utilisant les mêmes techniques. </w:t>
      </w:r>
    </w:p>
    <w:p>
      <w:pPr>
        <w:autoSpaceDN w:val="0"/>
        <w:autoSpaceDE w:val="0"/>
        <w:widowControl/>
        <w:spacing w:line="197" w:lineRule="auto" w:before="23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Au Maroc, la classification des données est définie principalement par 3 législations : </w:t>
      </w:r>
    </w:p>
    <w:p>
      <w:pPr>
        <w:autoSpaceDN w:val="0"/>
        <w:autoSpaceDE w:val="0"/>
        <w:widowControl/>
        <w:spacing w:line="266" w:lineRule="auto" w:before="188" w:after="0"/>
        <w:ind w:left="720" w:right="20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 </w:t>
      </w:r>
      <w:r>
        <w:rPr>
          <w:rFonts w:ascii="Calibri" w:hAnsi="Calibri" w:eastAsia="Calibri"/>
          <w:b/>
          <w:i w:val="0"/>
          <w:color w:val="000000"/>
          <w:sz w:val="24"/>
        </w:rPr>
        <w:t>Loi n°05-20 relative à la cybersécurité</w:t>
      </w:r>
      <w:r>
        <w:rPr>
          <w:rFonts w:ascii="Calibri" w:hAnsi="Calibri" w:eastAsia="Calibri"/>
          <w:b/>
          <w:i w:val="0"/>
          <w:color w:val="000000"/>
          <w:sz w:val="16"/>
        </w:rPr>
        <w:t>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(et son décret d’application n°2-21-406 du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15 juillet 2021) qui définit la classification des actifs informationnels en fonction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l’impact potentiel des incidents de cybersécurité. </w:t>
      </w:r>
    </w:p>
    <w:p>
      <w:pPr>
        <w:autoSpaceDN w:val="0"/>
        <w:autoSpaceDE w:val="0"/>
        <w:widowControl/>
        <w:spacing w:line="266" w:lineRule="auto" w:before="50" w:after="0"/>
        <w:ind w:left="720" w:right="20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La Loi n°31-13 relative au droit d’accès à l’information</w:t>
      </w:r>
      <w:r>
        <w:rPr>
          <w:rFonts w:ascii="Calibri" w:hAnsi="Calibri" w:eastAsia="Calibri"/>
          <w:b w:val="0"/>
          <w:i w:val="0"/>
          <w:color w:val="000000"/>
          <w:sz w:val="16"/>
        </w:rPr>
        <w:t>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qui définit, de façon précise,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informations publiques qui peuvent être publiées sur demande ou de façon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proactive. </w:t>
      </w:r>
    </w:p>
    <w:p>
      <w:pPr>
        <w:autoSpaceDN w:val="0"/>
        <w:autoSpaceDE w:val="0"/>
        <w:widowControl/>
        <w:spacing w:line="266" w:lineRule="auto" w:before="50" w:after="0"/>
        <w:ind w:left="720" w:right="22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La Loi n°09-08 relative à la protection des personnes physiques à l’égard du </w:t>
      </w:r>
      <w:r>
        <w:rPr>
          <w:rFonts w:ascii="Calibri" w:hAnsi="Calibri" w:eastAsia="Calibri"/>
          <w:b/>
          <w:i w:val="0"/>
          <w:color w:val="000000"/>
          <w:sz w:val="24"/>
        </w:rPr>
        <w:t>traitement des données à caractère personnel</w:t>
      </w:r>
      <w:r>
        <w:rPr>
          <w:rFonts w:ascii="Calibri" w:hAnsi="Calibri" w:eastAsia="Calibri"/>
          <w:b w:val="0"/>
          <w:i w:val="0"/>
          <w:color w:val="000000"/>
          <w:sz w:val="16"/>
        </w:rPr>
        <w:t>5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qui fournit un cadre réglementaire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pour la protection de la vie privée et identifie en particulier les données qui rentrent </w:t>
      </w:r>
    </w:p>
    <w:p>
      <w:pPr>
        <w:autoSpaceDN w:val="0"/>
        <w:autoSpaceDE w:val="0"/>
        <w:widowControl/>
        <w:spacing w:line="245" w:lineRule="auto" w:before="634" w:after="4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3"/>
        </w:rPr>
        <w:t>3</w:t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0"/>
        </w:rPr>
        <w:hyperlink r:id="rId13" w:history="1">
          <w:r>
            <w:rPr>
              <w:rStyle w:val="Hyperlink"/>
            </w:rPr>
            <w:t>https://www.dgssi.gov.ma/fr/content/loi-ndeg-0520-relative-la-</w:t>
          </w:r>
        </w:hyperlink>
      </w:r>
      <w:r>
        <w:br/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0"/>
        </w:rPr>
        <w:hyperlink r:id="rId13" w:history="1">
          <w:r>
            <w:rPr>
              <w:rStyle w:val="Hyperlink"/>
            </w:rPr>
            <w:t xml:space="preserve">cybersecurite.html#:~:text=La%20loi%2005%2D20%20relative,des%20collectivit%C3%A9s%20territoriales%2C </w:t>
          </w:r>
        </w:hyperlink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0"/>
        </w:rPr>
        <w:hyperlink r:id="rId13" w:history="1">
          <w:r>
            <w:rPr>
              <w:rStyle w:val="Hyperlink"/>
            </w:rPr>
            <w:t xml:space="preserve">%20des%20%C3%A9tablissements </w:t>
          </w:r>
        </w:hyperlink>
      </w:r>
      <w:r>
        <w:br/>
      </w:r>
      <w:r>
        <w:rPr>
          <w:rFonts w:ascii="Calibri" w:hAnsi="Calibri" w:eastAsia="Calibri"/>
          <w:b w:val="0"/>
          <w:i w:val="0"/>
          <w:color w:val="000000"/>
          <w:sz w:val="13"/>
        </w:rPr>
        <w:t>4</w:t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0"/>
        </w:rPr>
        <w:hyperlink r:id="rId14" w:history="1">
          <w:r>
            <w:rPr>
              <w:rStyle w:val="Hyperlink"/>
            </w:rPr>
            <w:t xml:space="preserve">https://www.ilo.org/dyn/natlex/docs/ELECTRONIC/107094/131706/F-985611108/MAR-107094.pdf 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3"/>
        </w:rPr>
        <w:t>5</w:t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0"/>
        </w:rPr>
        <w:hyperlink r:id="rId15" w:history="1">
          <w:r>
            <w:rPr>
              <w:rStyle w:val="Hyperlink"/>
            </w:rPr>
            <w:t>http://adala.justice.gov.ma/production/html/Fr/156780.htm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1"/>
        <w:gridCol w:w="4551"/>
      </w:tblGrid>
      <w:tr>
        <w:trPr>
          <w:trHeight w:hRule="exact" w:val="470"/>
        </w:trPr>
        <w:tc>
          <w:tcPr>
            <w:tcW w:type="dxa" w:w="8126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Guide méthodologique pour la mise en œuvre d’un inventaire de données </w:t>
            </w:r>
          </w:p>
        </w:tc>
        <w:tc>
          <w:tcPr>
            <w:tcW w:type="dxa" w:w="902"/>
            <w:tcBorders>
              <w:top w:sz="3.2000000000007276" w:val="single" w:color="#000000"/>
            </w:tcBorders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4"/>
              </w:rPr>
              <w:t xml:space="preserve">11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dans le cadre de cette loi et les traitements qui doivent être appliqués avant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publication des données. </w:t>
      </w:r>
    </w:p>
    <w:p>
      <w:pPr>
        <w:autoSpaceDN w:val="0"/>
        <w:autoSpaceDE w:val="0"/>
        <w:widowControl/>
        <w:spacing w:line="245" w:lineRule="auto" w:before="29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 processus de classification des données devrait être effectué en tenant compte des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dispositions y afférentes de chaque loi, et le cas échéant, de ses textes d’application. </w:t>
      </w:r>
    </w:p>
    <w:p>
      <w:pPr>
        <w:autoSpaceDN w:val="0"/>
        <w:autoSpaceDE w:val="0"/>
        <w:widowControl/>
        <w:spacing w:line="245" w:lineRule="auto" w:before="236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 à l’issue de ce processus, il ressort que les données doivent être anonymisées, la sélection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 l’application de traitements d’anonymisation spécifiques devra être discuté avec des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responsables/ agents ayant les capacités appropriées sur ces sujets, et si nécessaire, avec les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autorités compétentes chargées de veiller à la mise en œuvre de ces lois. </w:t>
      </w:r>
    </w:p>
    <w:p>
      <w:pPr>
        <w:autoSpaceDN w:val="0"/>
        <w:autoSpaceDE w:val="0"/>
        <w:widowControl/>
        <w:spacing w:line="254" w:lineRule="auto" w:before="244" w:after="0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26"/>
        </w:rPr>
        <w:t xml:space="preserve">Priorisation des données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 principe de la priorisation des données est d’identifier parmi toutes les données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référencées dans l’inventaire, les plus pertinentes, c’est-à-dire celles qui ont le plus gros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potentiel de valorisation. L’objectif de cette priorisation est de guider la structure dans 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focalisation de son effort de publication de données. Elle permet à la structure de savoir sur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quels jeux de données elle doit porter son effort de publication pour maximiser l’impact de 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mise en place de l’inventaire. Ce critère de potentiel de valorisation ou potentiel d’impact est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subjectif et il est défini en fonction du nombre de réutilisateurs potentiels au sein de 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structure, du gouvernement ou parmi les acteurs non-gouvernementaux. Dans la section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 Métadonnées », paragraphe « Ouverture du jeu de données », une méthode est proposée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pour calculer un score de priorité qui prend en compte à la fois la demande pour le jeu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données, la qualité des données et l’effort nécessaire à fournir pour publier ce jeu sous format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ouvert. Le calcul de ce score nécessiterait une analyse approfondie des différentes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métadonnées collectées sur le jeu de données, et des échanges avec les réutilisateurs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potentiels. </w:t>
      </w:r>
    </w:p>
    <w:p>
      <w:pPr>
        <w:autoSpaceDN w:val="0"/>
        <w:autoSpaceDE w:val="0"/>
        <w:widowControl/>
        <w:spacing w:line="250" w:lineRule="auto" w:before="242" w:after="0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26"/>
        </w:rPr>
        <w:t xml:space="preserve">Publication de l’inventaire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Comme expliqué dans l’introduction de ce document, l’objectif de l’inventaire est de servir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d’annuaire pour l’ensemble des responsables/ agents concernés de la structure et pour tous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réutilisateurs potentiels de données internes ou externes à l’Administration. Il est donc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essentiel que les données de l’inventaire soient mises à disposition des utilisateurs au travers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d’un outil qui favorisera la recherche et l’identification de jeux de données spécifiques. Cette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mise à disposition nécessite deux étapes : </w:t>
      </w:r>
    </w:p>
    <w:p>
      <w:pPr>
        <w:autoSpaceDN w:val="0"/>
        <w:autoSpaceDE w:val="0"/>
        <w:widowControl/>
        <w:spacing w:line="250" w:lineRule="auto" w:before="236" w:after="0"/>
        <w:ind w:left="720" w:right="22" w:hanging="36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1.</w:t>
      </w:r>
      <w:r>
        <w:rPr>
          <w:rFonts w:ascii="Calibri" w:hAnsi="Calibri" w:eastAsia="Calibri"/>
          <w:b/>
          <w:i w:val="0"/>
          <w:color w:val="000000"/>
          <w:sz w:val="24"/>
        </w:rPr>
        <w:t>Validation de l’inventaire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Dans un premier temps et pour que l’inventaire puisse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servir de référence administrative, il est primordial que les données de l’inventaire 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 particulier les informations de classification soient validées par le premier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responsable de la structure qui en assure la responsabilité. De cette manière, tout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agent qui reçoit une requête de données ou a l’intention de publier des données peut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 référer à l’inventaire pour connaitre cette classification. </w:t>
      </w:r>
    </w:p>
    <w:p>
      <w:pPr>
        <w:autoSpaceDN w:val="0"/>
        <w:autoSpaceDE w:val="0"/>
        <w:widowControl/>
        <w:spacing w:line="245" w:lineRule="auto" w:before="76" w:after="0"/>
        <w:ind w:left="720" w:right="20" w:hanging="36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2.</w:t>
      </w:r>
      <w:r>
        <w:rPr>
          <w:rFonts w:ascii="Calibri" w:hAnsi="Calibri" w:eastAsia="Calibri"/>
          <w:b/>
          <w:i w:val="0"/>
          <w:color w:val="000000"/>
          <w:sz w:val="24"/>
        </w:rPr>
        <w:t>Mise à disposition au travers d’une plateforme appropriée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Une fois l’inventaire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validé (et à chaque modification qui nécessite une nouvelle validation, c’est-à-dire à </w:t>
      </w:r>
      <w:r>
        <w:rPr>
          <w:rFonts w:ascii="Calibri" w:hAnsi="Calibri" w:eastAsia="Calibri"/>
          <w:b w:val="0"/>
          <w:i w:val="0"/>
          <w:color w:val="000000"/>
          <w:sz w:val="24"/>
        </w:rPr>
        <w:t>chaque fois qu’une information de classification change</w:t>
      </w:r>
      <w:r>
        <w:rPr>
          <w:rFonts w:ascii="Calibri" w:hAnsi="Calibri" w:eastAsia="Calibri"/>
          <w:b w:val="0"/>
          <w:i w:val="0"/>
          <w:color w:val="000000"/>
          <w:sz w:val="16"/>
        </w:rPr>
        <w:t>6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), il peut être publié et mis à </w:t>
      </w:r>
    </w:p>
    <w:p>
      <w:pPr>
        <w:autoSpaceDN w:val="0"/>
        <w:autoSpaceDE w:val="0"/>
        <w:widowControl/>
        <w:spacing w:line="214" w:lineRule="auto" w:before="448" w:after="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3"/>
        </w:rPr>
        <w:t>6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Insertion d’une nouvelle entrée dans l’inventaire ou changement de classification d’une entrée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1"/>
        <w:gridCol w:w="4551"/>
      </w:tblGrid>
      <w:tr>
        <w:trPr>
          <w:trHeight w:hRule="exact" w:val="470"/>
        </w:trPr>
        <w:tc>
          <w:tcPr>
            <w:tcW w:type="dxa" w:w="8126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Guide méthodologique pour la mise en œuvre d’un inventaire de données </w:t>
            </w:r>
          </w:p>
        </w:tc>
        <w:tc>
          <w:tcPr>
            <w:tcW w:type="dxa" w:w="902"/>
            <w:tcBorders>
              <w:top w:sz="3.2000000000007276" w:val="single" w:color="#000000"/>
            </w:tcBorders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4"/>
              </w:rPr>
              <w:t xml:space="preserve">12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72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disposition des réutilisateurs potentiels de données. L’objectif de l’inventaire étant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servir d’annuaire, la plateforme hébergeant ces données d’inventaire doit fournir tous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outils adéquats pour faciliter la recherche et l’identification des différents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enregistrements qui composent l’inventaire. En l’absence d’une plateforme dédiée, il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est recommandé de rassembler toutes les données d’inventaires validées dans un jeu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 données et le publier. </w:t>
      </w:r>
    </w:p>
    <w:p>
      <w:pPr>
        <w:autoSpaceDN w:val="0"/>
        <w:autoSpaceDE w:val="0"/>
        <w:widowControl/>
        <w:spacing w:line="252" w:lineRule="auto" w:before="242" w:after="0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26"/>
        </w:rPr>
        <w:t xml:space="preserve">Interaction avec les réutilisateurs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L’inventaire de données est un outil important d’interaction avec les réutilisateurs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notamment en ce qui concerne la priorisation des publications, ou des demandes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d’éclaircissement sur la documentation ou le niveau de classification. Les contributions des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réutilisateurs sur les données qu’ils recherchent sont également des informations précieuses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qui facilitent la recherche et la cartographie des sources de données. De ce fait, il serait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essentiel de s’assurer que la plateforme retenue pour la publication de l’inventaire supporte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ces interactions et offre a-minima un service de requête de données et un service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commentaire sur l’inventaire. </w:t>
      </w:r>
    </w:p>
    <w:p>
      <w:pPr>
        <w:autoSpaceDN w:val="0"/>
        <w:autoSpaceDE w:val="0"/>
        <w:widowControl/>
        <w:spacing w:line="197" w:lineRule="auto" w:before="332" w:after="0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32"/>
        </w:rPr>
        <w:t xml:space="preserve">Les métadonnées à répertorier </w:t>
      </w:r>
    </w:p>
    <w:p>
      <w:pPr>
        <w:autoSpaceDN w:val="0"/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métadonnées marquées avec un astérisque simple (*) sont les métadonnées proposées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comme devant être obligatoirement renseignées. </w:t>
      </w:r>
    </w:p>
    <w:p>
      <w:pPr>
        <w:autoSpaceDN w:val="0"/>
        <w:autoSpaceDE w:val="0"/>
        <w:widowControl/>
        <w:spacing w:line="247" w:lineRule="auto" w:before="234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métadonnées marquées avec un astérisque double (**) sont les métadonnées qu’il est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fortement recommandé de fournir à la fois en français et en arabe. Ces métadonnées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pourraient également être fournies en amazigh et en anglais pour faciliter la recherche des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jeux de données aux réutilisateurs utilisant ces langues comme langues primaires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recherche. </w:t>
      </w:r>
    </w:p>
    <w:p>
      <w:pPr>
        <w:autoSpaceDN w:val="0"/>
        <w:autoSpaceDE w:val="0"/>
        <w:widowControl/>
        <w:spacing w:line="245" w:lineRule="auto" w:before="238" w:after="0"/>
        <w:ind w:left="0" w:right="2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métadonnées marquées avec un astérisque triple (***) concernent les métadonnées qui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devront être fournies par sélection d’une valeur dans un ensemble de valeurs et la liste des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valeurs prédéfinies sera traduite dans toutes les langues. </w:t>
      </w:r>
    </w:p>
    <w:p>
      <w:pPr>
        <w:autoSpaceDN w:val="0"/>
        <w:autoSpaceDE w:val="0"/>
        <w:widowControl/>
        <w:spacing w:line="247" w:lineRule="auto" w:before="238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notre qu’il est essentiel dans un premier temps de renseigner les métadonnées obligatoires.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Dans un deuxième temps, les autres métadonnées pourraient être renseignées au fur et à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mesure. Par exemple, le champ sur les traitements à appliquer aux données avant publication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pourrait être renseigné lors de la première publication lorsque ces traitements sont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développés et mis en œuvre.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44" w:after="0"/>
        <w:ind w:left="0" w:right="3600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26"/>
        </w:rPr>
        <w:t xml:space="preserve">Informations sur le jeu de données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Importance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essentielle pour le référencement. </w:t>
      </w:r>
    </w:p>
    <w:p>
      <w:pPr>
        <w:autoSpaceDN w:val="0"/>
        <w:autoSpaceDE w:val="0"/>
        <w:widowControl/>
        <w:spacing w:line="247" w:lineRule="auto" w:before="2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Fréquence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dans tous les inventaires. </w:t>
      </w:r>
    </w:p>
    <w:p>
      <w:pPr>
        <w:autoSpaceDN w:val="0"/>
        <w:tabs>
          <w:tab w:pos="1080" w:val="left"/>
          <w:tab w:pos="1440" w:val="left"/>
        </w:tabs>
        <w:autoSpaceDE w:val="0"/>
        <w:widowControl/>
        <w:spacing w:line="257" w:lineRule="auto" w:before="26" w:after="246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Contenu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Nom/Titre (*) (**)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Nom du jeu de données ;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Description (*) (**)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Brève description du jeu de données ;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Secteur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Secteur concerné par les données (exemple : élevage, primaire,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secondaire…) 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1"/>
        <w:gridCol w:w="4551"/>
      </w:tblGrid>
      <w:tr>
        <w:trPr>
          <w:trHeight w:hRule="exact" w:val="470"/>
        </w:trPr>
        <w:tc>
          <w:tcPr>
            <w:tcW w:type="dxa" w:w="8126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Guide méthodologique pour la mise en œuvre d’un inventaire de données </w:t>
            </w:r>
          </w:p>
        </w:tc>
        <w:tc>
          <w:tcPr>
            <w:tcW w:type="dxa" w:w="902"/>
            <w:tcBorders>
              <w:top w:sz="3.2000000000007276" w:val="single" w:color="#000000"/>
            </w:tcBorders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4"/>
              </w:rPr>
              <w:t xml:space="preserve">13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tabs>
          <w:tab w:pos="1440" w:val="left"/>
        </w:tabs>
        <w:autoSpaceDE w:val="0"/>
        <w:widowControl/>
        <w:spacing w:line="254" w:lineRule="auto" w:before="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Mots-clés/Thème (*) (***)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Mots-clés ou thèmes illustrant le jeu de données ; </w:t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Date de création (*)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Date de la première collecte ou production du jeu de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données ;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Date de fin de support/Clôture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Date à partir de laquelle les données ne sont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plus collectées ou produites ;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Date de dernière mise à jour des données (à la date de la dernière mise à jour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de l’inventaire)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Date de la dernière collecte ou production du jeu de données ; </w:t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Date de publication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Date à laquelle le jeu de données a été ou sera publié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pour la première fois sur le portail national de données ouvertes ou sur le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portail de la structure concernée ;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URL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(si le jeu de données est publié sur le portail national de données ouvertes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ou un portail sectoriel) : URL générique sur le portail en question qui permet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d’accéder à la description du jeu de données. </w:t>
      </w:r>
    </w:p>
    <w:p>
      <w:pPr>
        <w:autoSpaceDN w:val="0"/>
        <w:autoSpaceDE w:val="0"/>
        <w:widowControl/>
        <w:spacing w:line="245" w:lineRule="auto" w:before="242" w:after="0"/>
        <w:ind w:left="360" w:right="144" w:hanging="36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26"/>
        </w:rPr>
        <w:t xml:space="preserve">Informations sur le producteur de données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Importance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essentielle pour faciliter les contacts entre utilisateurs et producteurs.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Fréquence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dans tous les inventaires. </w:t>
      </w:r>
    </w:p>
    <w:p>
      <w:pPr>
        <w:autoSpaceDN w:val="0"/>
        <w:autoSpaceDE w:val="0"/>
        <w:widowControl/>
        <w:spacing w:line="247" w:lineRule="auto" w:before="28" w:after="26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Contenu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>
        <w:trPr>
          <w:trHeight w:hRule="exact" w:val="3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8" w:after="0"/>
              <w:ind w:left="5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Organisation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en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charge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(*)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(***</w:t>
            </w:r>
            <w:r>
              <w:rPr>
                <w:rFonts w:ascii="Calibri" w:hAnsi="Calibri" w:eastAsia="Calibri"/>
                <w:b w:val="0"/>
                <w:i/>
                <w:color w:val="000000"/>
                <w:sz w:val="16"/>
              </w:rPr>
              <w:t>7</w:t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: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Structure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publique </w:t>
            </w:r>
          </w:p>
        </w:tc>
      </w:tr>
    </w:tbl>
    <w:p>
      <w:pPr>
        <w:autoSpaceDN w:val="0"/>
        <w:tabs>
          <w:tab w:pos="1440" w:val="left"/>
        </w:tabs>
        <w:autoSpaceDE w:val="0"/>
        <w:widowControl/>
        <w:spacing w:line="250" w:lineRule="auto" w:before="38" w:after="0"/>
        <w:ind w:left="1080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(Ministère/département…) ayant la responsabilité du jeu de données ; </w:t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Nom et coordonnées du responsable métier (*)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Coordonnées du responsable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administratif du jeux de données ;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Nom et coordonnées du responsable technique (*)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coordonnées du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gestionnaire technique des données (la personne qui vérifie la qualité et gère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 publication).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46" w:after="0"/>
        <w:ind w:left="0" w:right="2736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26"/>
        </w:rPr>
        <w:t xml:space="preserve">Information sur les données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Importance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essentielle pour l’exploitation des données. </w:t>
      </w:r>
    </w:p>
    <w:p>
      <w:pPr>
        <w:autoSpaceDN w:val="0"/>
        <w:tabs>
          <w:tab w:pos="720" w:val="left"/>
        </w:tabs>
        <w:autoSpaceDE w:val="0"/>
        <w:widowControl/>
        <w:spacing w:line="252" w:lineRule="auto" w:before="2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Fréquence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beaucoup des attributs ci-dessous apparaissent dans les métadonnées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des jeux de données publiés. </w:t>
      </w:r>
    </w:p>
    <w:p>
      <w:pPr>
        <w:autoSpaceDN w:val="0"/>
        <w:tabs>
          <w:tab w:pos="1080" w:val="left"/>
          <w:tab w:pos="1440" w:val="left"/>
        </w:tabs>
        <w:autoSpaceDE w:val="0"/>
        <w:widowControl/>
        <w:spacing w:line="254" w:lineRule="auto" w:before="2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Contenu :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Couverture géographique (*)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portée géographique des données dans le jeu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 données. </w:t>
      </w:r>
    </w:p>
    <w:p>
      <w:pPr>
        <w:autoSpaceDN w:val="0"/>
        <w:tabs>
          <w:tab w:pos="1440" w:val="left"/>
          <w:tab w:pos="1800" w:val="left"/>
          <w:tab w:pos="2160" w:val="left"/>
        </w:tabs>
        <w:autoSpaceDE w:val="0"/>
        <w:widowControl/>
        <w:spacing w:line="254" w:lineRule="auto" w:before="56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Niveau de désagrégation (*) </w:t>
      </w:r>
      <w:r>
        <w:br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Calibri" w:hAnsi="Calibri" w:eastAsia="Calibri"/>
          <w:b w:val="0"/>
          <w:i/>
          <w:color w:val="000000"/>
          <w:sz w:val="24"/>
        </w:rPr>
        <w:t>Géographique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Niveau administratif minimum (national, régional,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provincial/préfectural, communal…) présent dans le jeu de données ; </w:t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Calibri" w:hAnsi="Calibri" w:eastAsia="Calibri"/>
          <w:b w:val="0"/>
          <w:i/>
          <w:color w:val="000000"/>
          <w:sz w:val="24"/>
        </w:rPr>
        <w:t>Autre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liste des critères de désagrégation autre que géographique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présent dans le jeu de données (genre, tranche d’âge, catégorie sociale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professionnelle...) ;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Couverture temporelle (*)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portée temporelle des données dans le jeu de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données ; </w:t>
      </w:r>
    </w:p>
    <w:p>
      <w:pPr>
        <w:autoSpaceDN w:val="0"/>
        <w:autoSpaceDE w:val="0"/>
        <w:widowControl/>
        <w:spacing w:line="245" w:lineRule="auto" w:before="444" w:after="4"/>
        <w:ind w:left="0" w:right="2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13"/>
        </w:rPr>
        <w:t>7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Pour le cas du Maroc, chaque structure publique a probablement déjà son nom traduit dans les langues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principales. Il suffit donc de fournir une des traductions, les autres pouvant être automatiquement récupérées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et stockées dans le descriptif de chaque structure publique.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1"/>
        <w:gridCol w:w="4551"/>
      </w:tblGrid>
      <w:tr>
        <w:trPr>
          <w:trHeight w:hRule="exact" w:val="470"/>
        </w:trPr>
        <w:tc>
          <w:tcPr>
            <w:tcW w:type="dxa" w:w="8126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Guide méthodologique pour la mise en œuvre d’un inventaire de données </w:t>
            </w:r>
          </w:p>
        </w:tc>
        <w:tc>
          <w:tcPr>
            <w:tcW w:type="dxa" w:w="902"/>
            <w:tcBorders>
              <w:top w:sz="3.2000000000007276" w:val="single" w:color="#000000"/>
            </w:tcBorders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4"/>
              </w:rPr>
              <w:t xml:space="preserve">14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3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tabs>
          <w:tab w:pos="1440" w:val="left"/>
          <w:tab w:pos="1800" w:val="left"/>
          <w:tab w:pos="2160" w:val="left"/>
          <w:tab w:pos="2522" w:val="left"/>
        </w:tabs>
        <w:autoSpaceDE w:val="0"/>
        <w:widowControl/>
        <w:spacing w:line="257" w:lineRule="auto" w:before="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Couverture historique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liste des différentes versions historiques du jeu de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données. Par exemple, un jeu de données peut contenir des informations sur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une année donnée (couverture temporelle : annuelle) et peut être disponible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pour une période d’années (couverture historique) ;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Langues disponibles (*)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Langue(s) dans laquelle ou lesquelles le jeu de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données est disponible ;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Format de stockage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Format sous lequel est stocké le jeu de données : format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papier, format digital (fichier) ou système d’information (inclus les bases de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données) (*) </w:t>
      </w:r>
      <w:r>
        <w:br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 les données sont stockées sous format digital, indiquer les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informations suivantes :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/>
          <w:color w:val="000000"/>
          <w:sz w:val="24"/>
        </w:rPr>
        <w:t>Format du fichier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Excel, Geojson…. </w:t>
      </w:r>
    </w:p>
    <w:p>
      <w:pPr>
        <w:autoSpaceDN w:val="0"/>
        <w:tabs>
          <w:tab w:pos="2160" w:val="left"/>
          <w:tab w:pos="2522" w:val="left"/>
          <w:tab w:pos="2882" w:val="left"/>
        </w:tabs>
        <w:autoSpaceDE w:val="0"/>
        <w:widowControl/>
        <w:spacing w:line="257" w:lineRule="auto" w:before="40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 les données sont stockées dans un système d’information, indiquer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 informations suivantes 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/>
          <w:color w:val="000000"/>
          <w:sz w:val="24"/>
        </w:rPr>
        <w:t>Fonctionnalité d’export disponible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Est-ce que le système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d’information dispose de fonctionnalités d’export des données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(Oui/Non) ;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Export configurable sur les champs, les colonnes, les formats </w:t>
      </w:r>
      <w:r>
        <w:tab/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d’export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Décrire les caractéristiques d’export des données (s’il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est possible par exemple de sélectionner les champs, les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colonnes, les formats d’export…). </w:t>
      </w:r>
    </w:p>
    <w:p>
      <w:pPr>
        <w:autoSpaceDN w:val="0"/>
        <w:tabs>
          <w:tab w:pos="1440" w:val="left"/>
        </w:tabs>
        <w:autoSpaceDE w:val="0"/>
        <w:widowControl/>
        <w:spacing w:line="257" w:lineRule="auto" w:before="54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Emplacement de stockage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emplacement physique des données ;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Processus d’extraction automatique en place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Indiquer, en cas de publication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du jeu de données sur un portail de données ouvertes, si un processus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automatique de publication est en place lorsque les données sont mises à jour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(Oui/Non/Non applicable) ;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Dictionnaire de données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Description et typage des colonnes et des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indicateurs/variables ainsi que les nomenclatures et référentiels utilisés ; </w:t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Schéma de validation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Description sous le format Table Schema</w:t>
      </w:r>
      <w:r>
        <w:rPr>
          <w:rFonts w:ascii="Calibri" w:hAnsi="Calibri" w:eastAsia="Calibri"/>
          <w:b w:val="0"/>
          <w:i w:val="0"/>
          <w:color w:val="000000"/>
          <w:sz w:val="16"/>
        </w:rPr>
        <w:t>8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du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dictionnaire de données pour automatiser la validation formelle des données ; </w:t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Format lisible par une machine/données structurées (*)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 est-ce que les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données (données stockées dans un fichier ou données exportées d’un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système d’information) correspondent à la définition de données structurées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lisibles par une machine ? (Oui/Non/NA) ;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Taille des données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Taille en méga-octet du jeu de données ;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Nombre d’enregistrements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Nombre d’enregistrement dans le fichier (par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exemple nombre de lignes dans un fichier tabulaire en dehors de la ligne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d’entête de description) ;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45" w:lineRule="auto" w:before="244" w:after="0"/>
        <w:ind w:left="0" w:right="144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26"/>
        </w:rPr>
        <w:t xml:space="preserve">Informations sur la collecte de données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Importance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Les informations sur le cycle de collecte sont essentielles pour évaluer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l’âge et l’état de mise à jour des données. </w:t>
      </w:r>
    </w:p>
    <w:p>
      <w:pPr>
        <w:autoSpaceDN w:val="0"/>
        <w:autoSpaceDE w:val="0"/>
        <w:widowControl/>
        <w:spacing w:line="214" w:lineRule="auto" w:before="512" w:after="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3"/>
        </w:rPr>
        <w:t>8</w:t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0"/>
        </w:rPr>
        <w:hyperlink r:id="rId16" w:history="1">
          <w:r>
            <w:rPr>
              <w:rStyle w:val="Hyperlink"/>
            </w:rPr>
            <w:t>https://specs.frictionlessdata.io/table-schema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1"/>
        <w:gridCol w:w="4551"/>
      </w:tblGrid>
      <w:tr>
        <w:trPr>
          <w:trHeight w:hRule="exact" w:val="470"/>
        </w:trPr>
        <w:tc>
          <w:tcPr>
            <w:tcW w:type="dxa" w:w="8126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Guide méthodologique pour la mise en œuvre d’un inventaire de données </w:t>
            </w:r>
          </w:p>
        </w:tc>
        <w:tc>
          <w:tcPr>
            <w:tcW w:type="dxa" w:w="902"/>
            <w:tcBorders>
              <w:top w:sz="3.2000000000007276" w:val="single" w:color="#000000"/>
            </w:tcBorders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4"/>
              </w:rPr>
              <w:t xml:space="preserve">15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3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Fréquence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dans beaucoup d’inventaires. </w:t>
      </w:r>
    </w:p>
    <w:p>
      <w:pPr>
        <w:autoSpaceDN w:val="0"/>
        <w:tabs>
          <w:tab w:pos="1080" w:val="left"/>
          <w:tab w:pos="1440" w:val="left"/>
        </w:tabs>
        <w:autoSpaceDE w:val="0"/>
        <w:widowControl/>
        <w:spacing w:line="257" w:lineRule="auto" w:before="2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Contenu :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Périodicité de collecte/production (*)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Périodicité à laquelle les données sont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collectées/produites (quotidiennement, hebdomadairement, annuellement,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tous les 5 ans…) ;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Date de disponibilité des données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Date à partir de laquelle les données sont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prêtes à être utilisées ou publiées après leur collecte/production et le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processus de validation. Par exemple si les données sont collectées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annuellement, elles peuvent être disponibles à partir du mois de mars de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l’année suivante ;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Méthode de collecte / production des données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Toute information sur la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manière de collecte ou production des données : définition d’un échantillon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statistique, déclaratif, automatique (capteurs).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45" w:lineRule="auto" w:before="720" w:after="0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26"/>
        </w:rPr>
        <w:t xml:space="preserve">Classification des données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Importance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essentielle pour appuyer les responsables/ agents en charge de la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publication. </w:t>
      </w:r>
    </w:p>
    <w:p>
      <w:pPr>
        <w:autoSpaceDN w:val="0"/>
        <w:tabs>
          <w:tab w:pos="720" w:val="left"/>
        </w:tabs>
        <w:autoSpaceDE w:val="0"/>
        <w:widowControl/>
        <w:spacing w:line="252" w:lineRule="auto" w:before="3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Fréquence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Dépend de la portée de l’inventaire (inutile si l’inventaire ne concerne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que les données publiques). </w:t>
      </w:r>
    </w:p>
    <w:p>
      <w:pPr>
        <w:autoSpaceDN w:val="0"/>
        <w:tabs>
          <w:tab w:pos="1080" w:val="left"/>
          <w:tab w:pos="1440" w:val="left"/>
        </w:tabs>
        <w:autoSpaceDE w:val="0"/>
        <w:widowControl/>
        <w:spacing w:line="254" w:lineRule="auto" w:before="3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Contenu :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Classification selon la loi n°05-20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(*) : comment sont classifiées les données au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regard de cette loi : Très secret / Secret / Confidentiel Diffusion restreinte /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Non classifié. </w:t>
      </w:r>
    </w:p>
    <w:p>
      <w:pPr>
        <w:autoSpaceDN w:val="0"/>
        <w:tabs>
          <w:tab w:pos="1440" w:val="left"/>
        </w:tabs>
        <w:autoSpaceDE w:val="0"/>
        <w:widowControl/>
        <w:spacing w:line="245" w:lineRule="auto" w:before="5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Niveau d’accès selon la loi n°31-13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(*) : Restriction de publication des données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au regard de cette loi : Public / Public après traitement/ Accès restreint. </w:t>
      </w:r>
    </w:p>
    <w:p>
      <w:pPr>
        <w:autoSpaceDN w:val="0"/>
        <w:tabs>
          <w:tab w:pos="1440" w:val="left"/>
        </w:tabs>
        <w:autoSpaceDE w:val="0"/>
        <w:widowControl/>
        <w:spacing w:line="245" w:lineRule="auto" w:before="56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Justification du niveau d’accès selon la loi n°31-13 (*)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Justification de la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classification au regard de cette loi. </w:t>
      </w:r>
    </w:p>
    <w:p>
      <w:pPr>
        <w:autoSpaceDN w:val="0"/>
        <w:tabs>
          <w:tab w:pos="1440" w:val="left"/>
        </w:tabs>
        <w:autoSpaceDE w:val="0"/>
        <w:widowControl/>
        <w:spacing w:line="245" w:lineRule="auto" w:before="56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Statut de validation du niveau d’accès</w:t>
      </w:r>
      <w:r>
        <w:rPr>
          <w:rFonts w:ascii="Calibri" w:hAnsi="Calibri" w:eastAsia="Calibri"/>
          <w:b w:val="0"/>
          <w:i/>
          <w:color w:val="000000"/>
          <w:sz w:val="24"/>
        </w:rPr>
        <w:t>(*)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: est-ce que la classification a été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validée par le responsable de la structure ? </w:t>
      </w:r>
    </w:p>
    <w:p>
      <w:pPr>
        <w:autoSpaceDN w:val="0"/>
        <w:tabs>
          <w:tab w:pos="1440" w:val="left"/>
        </w:tabs>
        <w:autoSpaceDE w:val="0"/>
        <w:widowControl/>
        <w:spacing w:line="245" w:lineRule="auto" w:before="5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Licence de réutilisation</w:t>
      </w:r>
      <w:r>
        <w:rPr>
          <w:rFonts w:ascii="Calibri" w:hAnsi="Calibri" w:eastAsia="Calibri"/>
          <w:b w:val="0"/>
          <w:i/>
          <w:color w:val="000000"/>
          <w:sz w:val="24"/>
        </w:rPr>
        <w:t>(*)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quelle licence de réutilisation de données est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associée aux données (inclut accès payant/gratuit) ?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42" w:after="0"/>
        <w:ind w:left="0" w:right="3600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26"/>
        </w:rPr>
        <w:t xml:space="preserve">Ouverture du jeu de données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Importance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Aide à la priorisation des données. </w:t>
      </w:r>
    </w:p>
    <w:p>
      <w:pPr>
        <w:autoSpaceDN w:val="0"/>
        <w:tabs>
          <w:tab w:pos="720" w:val="left"/>
        </w:tabs>
        <w:autoSpaceDE w:val="0"/>
        <w:widowControl/>
        <w:spacing w:line="252" w:lineRule="auto" w:before="28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Fréquence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Informations qui sont prises en compte dans les inventaires les plus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récents. </w:t>
      </w:r>
    </w:p>
    <w:p>
      <w:pPr>
        <w:autoSpaceDN w:val="0"/>
        <w:tabs>
          <w:tab w:pos="1080" w:val="left"/>
          <w:tab w:pos="1440" w:val="left"/>
          <w:tab w:pos="1800" w:val="left"/>
        </w:tabs>
        <w:autoSpaceDE w:val="0"/>
        <w:widowControl/>
        <w:spacing w:line="257" w:lineRule="auto" w:before="30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Contenu :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Traitements avant publication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Documentation des traitements à appliquer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aux données avant publication (avec références aux scripts et autres codes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utilisés): </w:t>
      </w:r>
      <w:r>
        <w:br/>
      </w:r>
      <w:r>
        <w:tab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Extraction des données.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42" w:after="18"/>
        <w:ind w:left="1800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Anonymisation : est-ce qu’une anonymisation est requise et quelle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technique est appropriée ?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1"/>
        <w:gridCol w:w="4551"/>
      </w:tblGrid>
      <w:tr>
        <w:trPr>
          <w:trHeight w:hRule="exact" w:val="470"/>
        </w:trPr>
        <w:tc>
          <w:tcPr>
            <w:tcW w:type="dxa" w:w="8126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Guide méthodologique pour la mise en œuvre d’un inventaire de données </w:t>
            </w:r>
          </w:p>
        </w:tc>
        <w:tc>
          <w:tcPr>
            <w:tcW w:type="dxa" w:w="902"/>
            <w:tcBorders>
              <w:top w:sz="3.2000000000007276" w:val="single" w:color="#000000"/>
            </w:tcBorders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4"/>
              </w:rPr>
              <w:t xml:space="preserve">16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896" w:right="57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Transformation en données structurées lisibles par une machine.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Transcodage du jeu de données en format ouvert. </w:t>
      </w:r>
    </w:p>
    <w:p>
      <w:pPr>
        <w:autoSpaceDN w:val="0"/>
        <w:tabs>
          <w:tab w:pos="2256" w:val="left"/>
        </w:tabs>
        <w:autoSpaceDE w:val="0"/>
        <w:widowControl/>
        <w:spacing w:line="245" w:lineRule="auto" w:before="38" w:after="0"/>
        <w:ind w:left="1896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Transcodage des données en utilisant les référentiels, nomenclatures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 standards de données sélectionnées. </w:t>
      </w:r>
    </w:p>
    <w:p>
      <w:pPr>
        <w:autoSpaceDN w:val="0"/>
        <w:tabs>
          <w:tab w:pos="1536" w:val="left"/>
        </w:tabs>
        <w:autoSpaceDE w:val="0"/>
        <w:widowControl/>
        <w:spacing w:line="245" w:lineRule="auto" w:before="78" w:after="344"/>
        <w:ind w:left="1176" w:right="43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2"/>
        </w:rPr>
        <w:t xml:space="preserve">o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Qualité des données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: ce champ contient un score reflétant la qualité des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données. Le score sur 20 est à calculer selon le tableau suivant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.0" w:type="dxa"/>
      </w:tblPr>
      <w:tblGrid>
        <w:gridCol w:w="4620"/>
        <w:gridCol w:w="4620"/>
      </w:tblGrid>
      <w:tr>
        <w:trPr>
          <w:trHeight w:hRule="exact" w:val="312"/>
        </w:trPr>
        <w:tc>
          <w:tcPr>
            <w:tcW w:type="dxa" w:w="1606"/>
            <w:tcBorders/>
            <w:shd w:fill="5b9b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24"/>
              </w:rPr>
              <w:t xml:space="preserve">Critère </w:t>
            </w:r>
          </w:p>
        </w:tc>
        <w:tc>
          <w:tcPr>
            <w:tcW w:type="dxa" w:w="7472"/>
            <w:tcBorders/>
            <w:shd w:fill="5b9b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77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24"/>
              </w:rPr>
              <w:t xml:space="preserve">Score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.99999999999994" w:type="dxa"/>
      </w:tblPr>
      <w:tblGrid>
        <w:gridCol w:w="4620"/>
        <w:gridCol w:w="4620"/>
      </w:tblGrid>
      <w:tr>
        <w:trPr>
          <w:trHeight w:hRule="exact" w:val="540"/>
        </w:trPr>
        <w:tc>
          <w:tcPr>
            <w:tcW w:type="dxa" w:w="2264"/>
            <w:tcBorders>
              <w:start w:sz="4.0" w:val="single" w:color="#9CC2E4"/>
              <w:end w:sz="4.0" w:val="single" w:color="#9CC2E4"/>
              <w:bottom w:sz="4.0" w:val="single" w:color="#9CC2E4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Données lisibles par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une machine </w:t>
            </w:r>
          </w:p>
        </w:tc>
        <w:tc>
          <w:tcPr>
            <w:tcW w:type="dxa" w:w="6804"/>
            <w:tcBorders>
              <w:start w:sz="4.0" w:val="single" w:color="#9CC2E4"/>
              <w:end w:sz="4.0" w:val="single" w:color="#9CC2E4"/>
              <w:bottom w:sz="4.0" w:val="single" w:color="#9CC2E4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 ou 3 </w:t>
            </w:r>
          </w:p>
        </w:tc>
      </w:tr>
      <w:tr>
        <w:trPr>
          <w:trHeight w:hRule="exact" w:val="550"/>
        </w:trPr>
        <w:tc>
          <w:tcPr>
            <w:tcW w:type="dxa" w:w="2264"/>
            <w:tcBorders>
              <w:start w:sz="4.0" w:val="single" w:color="#9CC2E4"/>
              <w:top w:sz="4.0" w:val="single" w:color="#9CC2E4"/>
              <w:end w:sz="4.0" w:val="single" w:color="#9CC2E4"/>
              <w:bottom w:sz="4.0" w:val="single" w:color="#9CC2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22" w:val="left"/>
              </w:tabs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Données </w:t>
            </w:r>
            <w:r>
              <w:tab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existantes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sous format ouvert </w:t>
            </w:r>
          </w:p>
        </w:tc>
        <w:tc>
          <w:tcPr>
            <w:tcW w:type="dxa" w:w="6804"/>
            <w:tcBorders>
              <w:start w:sz="4.0" w:val="single" w:color="#9CC2E4"/>
              <w:top w:sz="4.0" w:val="single" w:color="#9CC2E4"/>
              <w:end w:sz="4.0" w:val="single" w:color="#9CC2E4"/>
              <w:bottom w:sz="4.0" w:val="single" w:color="#9CC2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 ou 3 </w:t>
            </w:r>
          </w:p>
        </w:tc>
      </w:tr>
      <w:tr>
        <w:trPr>
          <w:trHeight w:hRule="exact" w:val="546"/>
        </w:trPr>
        <w:tc>
          <w:tcPr>
            <w:tcW w:type="dxa" w:w="2264"/>
            <w:tcBorders>
              <w:start w:sz="4.0" w:val="single" w:color="#9CC2E4"/>
              <w:top w:sz="4.0" w:val="single" w:color="#9CC2E4"/>
              <w:end w:sz="4.0" w:val="single" w:color="#9CC2E4"/>
              <w:bottom w:sz="4.0" w:val="single" w:color="#9CC2E4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Données mises à jour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suivant la périodicité </w:t>
            </w:r>
          </w:p>
        </w:tc>
        <w:tc>
          <w:tcPr>
            <w:tcW w:type="dxa" w:w="6804"/>
            <w:tcBorders>
              <w:start w:sz="4.0" w:val="single" w:color="#9CC2E4"/>
              <w:top w:sz="4.0" w:val="single" w:color="#9CC2E4"/>
              <w:end w:sz="4.0" w:val="single" w:color="#9CC2E4"/>
              <w:bottom w:sz="4.0" w:val="single" w:color="#9CC2E4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 ou 3 </w:t>
            </w:r>
          </w:p>
        </w:tc>
      </w:tr>
      <w:tr>
        <w:trPr>
          <w:trHeight w:hRule="exact" w:val="1890"/>
        </w:trPr>
        <w:tc>
          <w:tcPr>
            <w:tcW w:type="dxa" w:w="2264"/>
            <w:tcBorders>
              <w:start w:sz="4.0" w:val="single" w:color="#9CC2E4"/>
              <w:top w:sz="4.0" w:val="single" w:color="#9CC2E4"/>
              <w:end w:sz="4.0" w:val="single" w:color="#9CC2E4"/>
              <w:bottom w:sz="4.0" w:val="single" w:color="#9CC2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Données désagrégées </w:t>
            </w:r>
          </w:p>
        </w:tc>
        <w:tc>
          <w:tcPr>
            <w:tcW w:type="dxa" w:w="6804"/>
            <w:tcBorders>
              <w:start w:sz="4.0" w:val="single" w:color="#9CC2E4"/>
              <w:top w:sz="4.0" w:val="single" w:color="#9CC2E4"/>
              <w:end w:sz="4.0" w:val="single" w:color="#9CC2E4"/>
              <w:bottom w:sz="4.0" w:val="single" w:color="#9CC2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 si les données sont agrégées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si les données sont désagrégées géographiquement au niveau régional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si les données sont désagrégées géographiquement au niveau provincial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si les données sont désagrégées géographiquement au niveau communal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si les données sont désagrégées sur une autre dimension (genre…) ou si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ce critère ne s’applique pas (par exemple des données textuelles comme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 texte de loi) </w:t>
            </w:r>
          </w:p>
        </w:tc>
      </w:tr>
      <w:tr>
        <w:trPr>
          <w:trHeight w:hRule="exact" w:val="816"/>
        </w:trPr>
        <w:tc>
          <w:tcPr>
            <w:tcW w:type="dxa" w:w="2264"/>
            <w:tcBorders>
              <w:start w:sz="4.0" w:val="single" w:color="#9CC2E4"/>
              <w:top w:sz="4.0" w:val="single" w:color="#9CC2E4"/>
              <w:end w:sz="4.0" w:val="single" w:color="#9CC2E4"/>
              <w:bottom w:sz="4.0" w:val="single" w:color="#9CC2E4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8" w:val="left"/>
              </w:tabs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Dictionnaire </w:t>
            </w:r>
            <w:r>
              <w:tab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des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données est fourni et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est complet </w:t>
            </w:r>
          </w:p>
        </w:tc>
        <w:tc>
          <w:tcPr>
            <w:tcW w:type="dxa" w:w="6804"/>
            <w:tcBorders>
              <w:start w:sz="4.0" w:val="single" w:color="#9CC2E4"/>
              <w:top w:sz="4.0" w:val="single" w:color="#9CC2E4"/>
              <w:end w:sz="4.0" w:val="single" w:color="#9CC2E4"/>
              <w:bottom w:sz="4.0" w:val="single" w:color="#9CC2E4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 ou 3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 score de 3 est donné si ce critère ne s’applique pas (par exemple des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données textuelles comme un texte de loi) </w:t>
            </w:r>
          </w:p>
        </w:tc>
      </w:tr>
      <w:tr>
        <w:trPr>
          <w:trHeight w:hRule="exact" w:val="814"/>
        </w:trPr>
        <w:tc>
          <w:tcPr>
            <w:tcW w:type="dxa" w:w="2264"/>
            <w:tcBorders>
              <w:start w:sz="4.0" w:val="single" w:color="#9CC2E4"/>
              <w:top w:sz="4.0" w:val="single" w:color="#9CC2E4"/>
              <w:end w:sz="4.0" w:val="single" w:color="#9CC2E4"/>
              <w:bottom w:sz="4.0" w:val="single" w:color="#9CC2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Existence d’un schéma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 validation </w:t>
            </w:r>
          </w:p>
        </w:tc>
        <w:tc>
          <w:tcPr>
            <w:tcW w:type="dxa" w:w="6804"/>
            <w:tcBorders>
              <w:start w:sz="4.0" w:val="single" w:color="#9CC2E4"/>
              <w:top w:sz="4.0" w:val="single" w:color="#9CC2E4"/>
              <w:end w:sz="4.0" w:val="single" w:color="#9CC2E4"/>
              <w:bottom w:sz="4.0" w:val="single" w:color="#9CC2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 ou 2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 score de 2 est donné si ce critère ne s’applique pas (par exemple des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données textuelles comme un texte de loi) </w:t>
            </w:r>
          </w:p>
        </w:tc>
      </w:tr>
      <w:tr>
        <w:trPr>
          <w:trHeight w:hRule="exact" w:val="818"/>
        </w:trPr>
        <w:tc>
          <w:tcPr>
            <w:tcW w:type="dxa" w:w="2264"/>
            <w:tcBorders>
              <w:start w:sz="4.0" w:val="single" w:color="#9CC2E4"/>
              <w:top w:sz="4.0" w:val="single" w:color="#9CC2E4"/>
              <w:end w:sz="4.0" w:val="single" w:color="#9CC2E4"/>
              <w:bottom w:sz="3.199999999999818" w:val="single" w:color="#9CC2E4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Données utilisant les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standards techniques </w:t>
            </w:r>
          </w:p>
        </w:tc>
        <w:tc>
          <w:tcPr>
            <w:tcW w:type="dxa" w:w="6804"/>
            <w:tcBorders>
              <w:start w:sz="4.0" w:val="single" w:color="#9CC2E4"/>
              <w:top w:sz="4.0" w:val="single" w:color="#9CC2E4"/>
              <w:end w:sz="4.0" w:val="single" w:color="#9CC2E4"/>
              <w:bottom w:sz="3.199999999999818" w:val="single" w:color="#9CC2E4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 ou 1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 score de 1 est donné si ce critère ne s’applique pas (par exemple des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données textuelles comme un texte de loi) </w:t>
            </w:r>
          </w:p>
        </w:tc>
      </w:tr>
      <w:tr>
        <w:trPr>
          <w:trHeight w:hRule="exact" w:val="816"/>
        </w:trPr>
        <w:tc>
          <w:tcPr>
            <w:tcW w:type="dxa" w:w="2264"/>
            <w:tcBorders>
              <w:start w:sz="4.0" w:val="single" w:color="#9CC2E4"/>
              <w:top w:sz="3.199999999999818" w:val="single" w:color="#9CC2E4"/>
              <w:end w:sz="4.0" w:val="single" w:color="#9CC2E4"/>
              <w:bottom w:sz="4.0" w:val="single" w:color="#9CC2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Données utilisant des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référentiels </w:t>
            </w:r>
          </w:p>
        </w:tc>
        <w:tc>
          <w:tcPr>
            <w:tcW w:type="dxa" w:w="6804"/>
            <w:tcBorders>
              <w:start w:sz="4.0" w:val="single" w:color="#9CC2E4"/>
              <w:top w:sz="3.199999999999818" w:val="single" w:color="#9CC2E4"/>
              <w:end w:sz="4.0" w:val="single" w:color="#9CC2E4"/>
              <w:bottom w:sz="4.0" w:val="single" w:color="#9CC2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 ou 1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 score de 1 est donné si ce critère ne s’applique pas (par exemple des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données textuelles comme un texte de loi) </w:t>
            </w:r>
          </w:p>
        </w:tc>
      </w:tr>
    </w:tbl>
    <w:p>
      <w:pPr>
        <w:autoSpaceDN w:val="0"/>
        <w:autoSpaceDE w:val="0"/>
        <w:widowControl/>
        <w:spacing w:line="245" w:lineRule="auto" w:before="350" w:after="656"/>
        <w:ind w:left="1536" w:right="144" w:hanging="36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Accessibilité des données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 champ contient un score reflétant la facilité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publication des données. Le calcul d’un score sur 10 se fait suivant le tableau </w:t>
      </w:r>
      <w:r>
        <w:rPr>
          <w:rFonts w:ascii="Calibri" w:hAnsi="Calibri" w:eastAsia="Calibri"/>
          <w:b w:val="0"/>
          <w:i w:val="0"/>
          <w:color w:val="000000"/>
          <w:sz w:val="24"/>
        </w:rPr>
        <w:t>suivant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620"/>
        <w:gridCol w:w="4620"/>
      </w:tblGrid>
      <w:tr>
        <w:trPr>
          <w:trHeight w:hRule="exact" w:val="1348"/>
        </w:trPr>
        <w:tc>
          <w:tcPr>
            <w:tcW w:type="dxa" w:w="3114"/>
            <w:tcBorders>
              <w:start w:sz="4.0" w:val="single" w:color="#9CC2E4"/>
              <w:end w:sz="4.0" w:val="single" w:color="#9CC2E4"/>
              <w:bottom w:sz="4.0" w:val="single" w:color="#9CC2E4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Les données sont disponibles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sous format digital </w:t>
            </w:r>
          </w:p>
        </w:tc>
        <w:tc>
          <w:tcPr>
            <w:tcW w:type="dxa" w:w="6096"/>
            <w:tcBorders>
              <w:start w:sz="4.0" w:val="single" w:color="#9CC2E4"/>
              <w:end w:sz="4.0" w:val="single" w:color="#9CC2E4"/>
              <w:bottom w:sz="4.0" w:val="single" w:color="#9CC2E4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 si les données sont sous format papier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si les données sont sous format digital (Excel…)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si les données sont sous format digital et sont mises à jour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automatiquement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si les données sont dans un système d’information </w:t>
            </w:r>
          </w:p>
        </w:tc>
      </w:tr>
      <w:tr>
        <w:trPr>
          <w:trHeight w:hRule="exact" w:val="818"/>
        </w:trPr>
        <w:tc>
          <w:tcPr>
            <w:tcW w:type="dxa" w:w="3114"/>
            <w:tcBorders>
              <w:start w:sz="4.0" w:val="single" w:color="#9CC2E4"/>
              <w:top w:sz="4.0" w:val="single" w:color="#9CC2E4"/>
              <w:end w:sz="4.0" w:val="single" w:color="#9CC2E4"/>
              <w:bottom w:sz="4.0" w:val="single" w:color="#9CC2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6" w:firstLine="0"/>
              <w:jc w:val="both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Le système d’information offre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des fonctionnalités d’extraction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automatique </w:t>
            </w:r>
          </w:p>
        </w:tc>
        <w:tc>
          <w:tcPr>
            <w:tcW w:type="dxa" w:w="6096"/>
            <w:tcBorders>
              <w:start w:sz="4.0" w:val="single" w:color="#9CC2E4"/>
              <w:top w:sz="4.0" w:val="single" w:color="#9CC2E4"/>
              <w:end w:sz="4.0" w:val="single" w:color="#9CC2E4"/>
              <w:bottom w:sz="4.0" w:val="single" w:color="#9CC2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 si l’obtention des données sont difficiles (numérisation, …)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si les données peuvent être récupérées facilement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manuellement (fichier Excel…)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5.99999999999994" w:type="dxa"/>
      </w:tblPr>
      <w:tblGrid>
        <w:gridCol w:w="4620"/>
        <w:gridCol w:w="4620"/>
      </w:tblGrid>
      <w:tr>
        <w:trPr>
          <w:trHeight w:hRule="exact" w:val="3008"/>
        </w:trPr>
        <w:tc>
          <w:tcPr>
            <w:tcW w:type="dxa" w:w="2480"/>
            <w:tcBorders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62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FFFFFF"/>
                <w:sz w:val="24"/>
              </w:rPr>
              <w:t xml:space="preserve">Critère </w:t>
            </w:r>
          </w:p>
        </w:tc>
        <w:tc>
          <w:tcPr>
            <w:tcW w:type="dxa" w:w="5646"/>
            <w:tcBorders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65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24"/>
              </w:rPr>
              <w:t xml:space="preserve">Score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5.99999999999994" w:type="dxa"/>
      </w:tblPr>
      <w:tblGrid>
        <w:gridCol w:w="4620"/>
        <w:gridCol w:w="4620"/>
      </w:tblGrid>
      <w:tr>
        <w:trPr>
          <w:trHeight w:hRule="exact" w:val="470"/>
        </w:trPr>
        <w:tc>
          <w:tcPr>
            <w:tcW w:type="dxa" w:w="8136"/>
            <w:tcBorders>
              <w:top w:sz="3.2000000000007276" w:val="single" w:color="#EC7C3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Guide méthodologique pour la mise en œuvre d’un inventaire de données </w:t>
            </w:r>
          </w:p>
        </w:tc>
        <w:tc>
          <w:tcPr>
            <w:tcW w:type="dxa" w:w="892"/>
            <w:tcBorders>
              <w:top w:sz="3.2000000000007276" w:val="single" w:color="#EC7C30"/>
            </w:tcBorders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4"/>
              </w:rPr>
              <w:t xml:space="preserve">17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6" w:right="1322" w:bottom="500" w:left="13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30.0" w:type="dxa"/>
      </w:tblPr>
      <w:tblGrid>
        <w:gridCol w:w="5046"/>
        <w:gridCol w:w="5046"/>
      </w:tblGrid>
      <w:tr>
        <w:trPr>
          <w:trHeight w:hRule="exact" w:val="816"/>
        </w:trPr>
        <w:tc>
          <w:tcPr>
            <w:tcW w:type="dxa" w:w="3114"/>
            <w:tcBorders>
              <w:start w:sz="4.0" w:val="single" w:color="#9CC2E4"/>
              <w:top w:sz="4.0" w:val="single" w:color="#9CC2E4"/>
              <w:end w:sz="4.0" w:val="single" w:color="#9CC2E4"/>
              <w:bottom w:sz="4.0" w:val="single" w:color="#9CC2E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96"/>
            <w:tcBorders>
              <w:start w:sz="4.0" w:val="single" w:color="#9CC2E4"/>
              <w:top w:sz="4.0" w:val="single" w:color="#9CC2E4"/>
              <w:end w:sz="4.0" w:val="single" w:color="#9CC2E4"/>
              <w:bottom w:sz="4.0" w:val="single" w:color="#9CC2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si la récupération des données peut être automatisée (Le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système d’information offre des fonctionnalités d’extraction, les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fichiers Excel sont générés automatiquement…) </w:t>
            </w:r>
          </w:p>
        </w:tc>
      </w:tr>
      <w:tr>
        <w:trPr>
          <w:trHeight w:hRule="exact" w:val="1086"/>
        </w:trPr>
        <w:tc>
          <w:tcPr>
            <w:tcW w:type="dxa" w:w="3114"/>
            <w:tcBorders>
              <w:start w:sz="4.0" w:val="single" w:color="#9CC2E4"/>
              <w:top w:sz="4.0" w:val="single" w:color="#9CC2E4"/>
              <w:end w:sz="4.0" w:val="single" w:color="#9CC2E4"/>
              <w:bottom w:sz="3.2000000000000455" w:val="single" w:color="#9CC2E4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24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Les fonctionnalités d’extraction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1038"/>
              <w:gridCol w:w="1038"/>
              <w:gridCol w:w="1038"/>
            </w:tblGrid>
            <w:tr>
              <w:trPr>
                <w:trHeight w:hRule="exact" w:val="268"/>
              </w:trPr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5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permettent 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d’obtenir 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16" w:firstLine="0"/>
                    <w:jc w:val="righ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des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données structurées lisibles par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une machine </w:t>
            </w:r>
          </w:p>
        </w:tc>
        <w:tc>
          <w:tcPr>
            <w:tcW w:type="dxa" w:w="6096"/>
            <w:tcBorders>
              <w:start w:sz="4.0" w:val="single" w:color="#9CC2E4"/>
              <w:top w:sz="4.0" w:val="single" w:color="#9CC2E4"/>
              <w:end w:sz="4.0" w:val="single" w:color="#9CC2E4"/>
              <w:bottom w:sz="3.2000000000000455" w:val="single" w:color="#9CC2E4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 ou 1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 score de 1 est donné si les données sont nativement lisibles par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une machine, ou les fonctionnalités d’extraction des données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permettent de générer des données lisibles par une machine </w:t>
            </w:r>
          </w:p>
        </w:tc>
      </w:tr>
      <w:tr>
        <w:trPr>
          <w:trHeight w:hRule="exact" w:val="1620"/>
        </w:trPr>
        <w:tc>
          <w:tcPr>
            <w:tcW w:type="dxa" w:w="3114"/>
            <w:tcBorders>
              <w:start w:sz="4.0" w:val="single" w:color="#9CC2E4"/>
              <w:top w:sz="3.2000000000000455" w:val="single" w:color="#9CC2E4"/>
              <w:end w:sz="4.0" w:val="single" w:color="#9CC2E4"/>
              <w:bottom w:sz="3.2000000000000455" w:val="single" w:color="#9CC2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24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Les fonctionnalités d’extraction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1038"/>
              <w:gridCol w:w="1038"/>
              <w:gridCol w:w="1038"/>
            </w:tblGrid>
            <w:tr>
              <w:trPr>
                <w:trHeight w:hRule="exact" w:val="262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permettent </w:t>
                  </w:r>
                </w:p>
              </w:tc>
              <w:tc>
                <w:tcPr>
                  <w:tcW w:type="dxa" w:w="1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25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d’obtenir 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16" w:firstLine="0"/>
                    <w:jc w:val="righ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des </w:t>
                  </w:r>
                </w:p>
              </w:tc>
            </w:tr>
            <w:tr>
              <w:trPr>
                <w:trHeight w:hRule="exact" w:val="274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0" w:after="0"/>
                    <w:ind w:left="5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données </w:t>
                  </w:r>
                </w:p>
              </w:tc>
              <w:tc>
                <w:tcPr>
                  <w:tcW w:type="dxa" w:w="1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0" w:after="0"/>
                    <w:ind w:left="50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répondant 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0" w:after="0"/>
                    <w:ind w:left="0" w:right="16" w:firstLine="0"/>
                    <w:jc w:val="righ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aux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2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standards techniques </w:t>
            </w:r>
          </w:p>
        </w:tc>
        <w:tc>
          <w:tcPr>
            <w:tcW w:type="dxa" w:w="6096"/>
            <w:tcBorders>
              <w:start w:sz="4.0" w:val="single" w:color="#9CC2E4"/>
              <w:top w:sz="3.2000000000000455" w:val="single" w:color="#9CC2E4"/>
              <w:end w:sz="4.0" w:val="single" w:color="#9CC2E4"/>
              <w:bottom w:sz="3.2000000000000455" w:val="single" w:color="#9CC2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 ou 1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 score de 1 est donné si les données utilisent nativement les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standards techniques de données ou les fonctionnalités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d’extraction des données permettent de générer des données qui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utilisent les standards ou ce critère n’est pas applicable au jeu de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données (cas d’un texte de loi par exemple) </w:t>
            </w:r>
          </w:p>
        </w:tc>
      </w:tr>
      <w:tr>
        <w:trPr>
          <w:trHeight w:hRule="exact" w:val="1354"/>
        </w:trPr>
        <w:tc>
          <w:tcPr>
            <w:tcW w:type="dxa" w:w="3114"/>
            <w:tcBorders>
              <w:start w:sz="4.0" w:val="single" w:color="#9CC2E4"/>
              <w:top w:sz="3.2000000000000455" w:val="single" w:color="#9CC2E4"/>
              <w:end w:sz="4.0" w:val="single" w:color="#9CC2E4"/>
              <w:bottom w:sz="3.199999999999818" w:val="single" w:color="#9CC2E4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02" w:val="left"/>
                <w:tab w:pos="1872" w:val="left"/>
                <w:tab w:pos="2772" w:val="left"/>
              </w:tabs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Les fonctionnalités d’extraction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permettent de générer les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métadonnées </w:t>
            </w:r>
            <w:r>
              <w:tab/>
            </w:r>
            <w:r>
              <w:tab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importantes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(dictionnaire, </w:t>
            </w:r>
            <w:r>
              <w:tab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schéma </w:t>
            </w:r>
            <w:r>
              <w:tab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données...) </w:t>
            </w:r>
          </w:p>
        </w:tc>
        <w:tc>
          <w:tcPr>
            <w:tcW w:type="dxa" w:w="6096"/>
            <w:tcBorders>
              <w:start w:sz="4.0" w:val="single" w:color="#9CC2E4"/>
              <w:top w:sz="3.2000000000000455" w:val="single" w:color="#9CC2E4"/>
              <w:end w:sz="4.0" w:val="single" w:color="#9CC2E4"/>
              <w:bottom w:sz="3.199999999999818" w:val="single" w:color="#9CC2E4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 ou 1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 score de 1 est donné si les données sont nativement générées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avec un ensemble de métadonnées </w:t>
            </w:r>
          </w:p>
        </w:tc>
      </w:tr>
      <w:tr>
        <w:trPr>
          <w:trHeight w:hRule="exact" w:val="818"/>
        </w:trPr>
        <w:tc>
          <w:tcPr>
            <w:tcW w:type="dxa" w:w="3114"/>
            <w:tcBorders>
              <w:start w:sz="4.0" w:val="single" w:color="#9CC2E4"/>
              <w:top w:sz="3.199999999999818" w:val="single" w:color="#9CC2E4"/>
              <w:end w:sz="4.0" w:val="single" w:color="#9CC2E4"/>
              <w:bottom w:sz="4.0" w:val="single" w:color="#9CC2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Les données ne nécessitent pas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 traitement d’anonymisation </w:t>
            </w:r>
          </w:p>
        </w:tc>
        <w:tc>
          <w:tcPr>
            <w:tcW w:type="dxa" w:w="6096"/>
            <w:tcBorders>
              <w:start w:sz="4.0" w:val="single" w:color="#9CC2E4"/>
              <w:top w:sz="3.199999999999818" w:val="single" w:color="#9CC2E4"/>
              <w:end w:sz="4.0" w:val="single" w:color="#9CC2E4"/>
              <w:bottom w:sz="4.0" w:val="single" w:color="#9CC2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 ou 2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 score de 2 est donné si aucun traitement d’anonymisation n’est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requis </w:t>
            </w:r>
          </w:p>
        </w:tc>
      </w:tr>
    </w:tbl>
    <w:p>
      <w:pPr>
        <w:autoSpaceDN w:val="0"/>
        <w:autoSpaceDE w:val="0"/>
        <w:widowControl/>
        <w:spacing w:line="245" w:lineRule="auto" w:before="344" w:after="500"/>
        <w:ind w:left="1960" w:right="576" w:hanging="36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libri" w:hAnsi="Calibri" w:eastAsia="Calibri"/>
          <w:b w:val="0"/>
          <w:i/>
          <w:color w:val="000000"/>
          <w:sz w:val="24"/>
        </w:rPr>
        <w:t>Valeur du jeu de données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 champ contient un score reflétant le potentiel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 valorisation et de réutilisation du jeu de données. Le calcul d’un score sur </w:t>
      </w:r>
      <w:r>
        <w:rPr>
          <w:rFonts w:ascii="Calibri" w:hAnsi="Calibri" w:eastAsia="Calibri"/>
          <w:b w:val="0"/>
          <w:i w:val="0"/>
          <w:color w:val="000000"/>
          <w:sz w:val="24"/>
        </w:rPr>
        <w:t>20 se fait suivant le tableau suivant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46"/>
        <w:gridCol w:w="5046"/>
      </w:tblGrid>
      <w:tr>
        <w:trPr>
          <w:trHeight w:hRule="exact" w:val="1348"/>
        </w:trPr>
        <w:tc>
          <w:tcPr>
            <w:tcW w:type="dxa" w:w="2128"/>
            <w:tcBorders>
              <w:start w:sz="3.1999999999999886" w:val="single" w:color="#9CC2E4"/>
              <w:end w:sz="4.0" w:val="single" w:color="#9CC2E4"/>
              <w:bottom w:sz="4.0" w:val="single" w:color="#9CC2E4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54" w:firstLine="0"/>
              <w:jc w:val="both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Les données sont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utilisées au sein de la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structure </w:t>
            </w:r>
          </w:p>
        </w:tc>
        <w:tc>
          <w:tcPr>
            <w:tcW w:type="dxa" w:w="7936"/>
            <w:tcBorders>
              <w:start w:sz="4.0" w:val="single" w:color="#9CC2E4"/>
              <w:end w:sz="4.0" w:val="single" w:color="#9CC2E4"/>
              <w:bottom w:sz="4.0" w:val="single" w:color="#9CC2E4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 Les données ne sont pas utilisées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Les données sont principalement utilisées par le gestionnaire des données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Les données sont partagées largement au sein de la structure concernée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les données sont utilisées dans des processus de rapportage réguliers importants de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la structure </w:t>
            </w:r>
          </w:p>
        </w:tc>
      </w:tr>
      <w:tr>
        <w:trPr>
          <w:trHeight w:hRule="exact" w:val="1354"/>
        </w:trPr>
        <w:tc>
          <w:tcPr>
            <w:tcW w:type="dxa" w:w="2128"/>
            <w:tcBorders>
              <w:start w:sz="3.1999999999999886" w:val="single" w:color="#9CC2E4"/>
              <w:top w:sz="4.0" w:val="single" w:color="#9CC2E4"/>
              <w:end w:sz="4.0" w:val="single" w:color="#9CC2E4"/>
              <w:bottom w:sz="4.0" w:val="single" w:color="#9CC2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22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Les données sont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utilisées/demandées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.00000000000003" w:type="dxa"/>
            </w:tblPr>
            <w:tblGrid>
              <w:gridCol w:w="709"/>
              <w:gridCol w:w="709"/>
              <w:gridCol w:w="709"/>
            </w:tblGrid>
            <w:tr>
              <w:trPr>
                <w:trHeight w:hRule="exact" w:val="268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2" w:after="0"/>
                    <w:ind w:left="72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au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sein 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2" w:after="0"/>
                    <w:ind w:left="0" w:right="28" w:firstLine="0"/>
                    <w:jc w:val="righ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de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2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l’Administration </w:t>
            </w:r>
          </w:p>
        </w:tc>
        <w:tc>
          <w:tcPr>
            <w:tcW w:type="dxa" w:w="7936"/>
            <w:tcBorders>
              <w:start w:sz="4.0" w:val="single" w:color="#9CC2E4"/>
              <w:top w:sz="4.0" w:val="single" w:color="#9CC2E4"/>
              <w:end w:sz="4.0" w:val="single" w:color="#9CC2E4"/>
              <w:bottom w:sz="4.0" w:val="single" w:color="#9CC2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 Les données ne sont pas utilisées/demandées en dehors de la structure concernée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Les données sont partagées avec des structures publiques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Les données font partie des échanges régulés avec d’autres structures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Les données sont fournies à des organisations internationales dans le cadre d’accords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nationaux ou internationaux </w:t>
            </w:r>
          </w:p>
        </w:tc>
      </w:tr>
      <w:tr>
        <w:trPr>
          <w:trHeight w:hRule="exact" w:val="1666"/>
        </w:trPr>
        <w:tc>
          <w:tcPr>
            <w:tcW w:type="dxa" w:w="2128"/>
            <w:tcBorders>
              <w:start w:sz="3.1999999999999886" w:val="single" w:color="#9CC2E4"/>
              <w:top w:sz="4.0" w:val="single" w:color="#9CC2E4"/>
              <w:end w:sz="4.0" w:val="single" w:color="#9CC2E4"/>
              <w:bottom w:sz="4.0" w:val="single" w:color="#9CC2E4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Les données sont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utilisées/demandées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par des acteurs non-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gouvernementaux </w:t>
            </w:r>
          </w:p>
        </w:tc>
        <w:tc>
          <w:tcPr>
            <w:tcW w:type="dxa" w:w="7936"/>
            <w:tcBorders>
              <w:start w:sz="4.0" w:val="single" w:color="#9CC2E4"/>
              <w:top w:sz="4.0" w:val="single" w:color="#9CC2E4"/>
              <w:end w:sz="4.0" w:val="single" w:color="#9CC2E4"/>
              <w:bottom w:sz="4.0" w:val="single" w:color="#9CC2E4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 Les données ne sont pas utilisées/demandées en dehors de l’Administration </w:t>
            </w:r>
          </w:p>
          <w:p>
            <w:pPr>
              <w:autoSpaceDN w:val="0"/>
              <w:tabs>
                <w:tab w:pos="460" w:val="left"/>
                <w:tab w:pos="822" w:val="left"/>
              </w:tabs>
              <w:autoSpaceDE w:val="0"/>
              <w:widowControl/>
              <w:spacing w:line="245" w:lineRule="auto" w:before="48" w:after="0"/>
              <w:ind w:left="100" w:right="259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points par catégorie de demandeurs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Acteurs de l’innovation (startups) et secteur privé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Société civile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Recherche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Média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5046"/>
        <w:gridCol w:w="5046"/>
      </w:tblGrid>
      <w:tr>
        <w:trPr>
          <w:trHeight w:hRule="exact" w:val="6786"/>
        </w:trPr>
        <w:tc>
          <w:tcPr>
            <w:tcW w:type="dxa" w:w="1320"/>
            <w:tcBorders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24"/>
              </w:rPr>
              <w:t xml:space="preserve">Critère </w:t>
            </w:r>
          </w:p>
        </w:tc>
        <w:tc>
          <w:tcPr>
            <w:tcW w:type="dxa" w:w="6806"/>
            <w:tcBorders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24"/>
              </w:rPr>
              <w:t xml:space="preserve">Score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5046"/>
        <w:gridCol w:w="5046"/>
      </w:tblGrid>
      <w:tr>
        <w:trPr>
          <w:trHeight w:hRule="exact" w:val="470"/>
        </w:trPr>
        <w:tc>
          <w:tcPr>
            <w:tcW w:type="dxa" w:w="8356"/>
            <w:tcBorders>
              <w:top w:sz="3.2000000000007276" w:val="single" w:color="#EC7C3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33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Guide méthodologique pour la mise en œuvre d’un inventaire de données </w:t>
            </w:r>
          </w:p>
        </w:tc>
        <w:tc>
          <w:tcPr>
            <w:tcW w:type="dxa" w:w="892"/>
            <w:tcBorders>
              <w:top w:sz="3.2000000000007276" w:val="single" w:color="#EC7C30"/>
            </w:tcBorders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4"/>
              </w:rPr>
              <w:t xml:space="preserve">18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894" w:bottom="500" w:left="9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2F5496"/>
          <w:sz w:val="32"/>
        </w:rPr>
        <w:t xml:space="preserve">Calendrier d’exécution d’un inventaire de données </w:t>
      </w:r>
    </w:p>
    <w:p>
      <w:pPr>
        <w:autoSpaceDN w:val="0"/>
        <w:autoSpaceDE w:val="0"/>
        <w:widowControl/>
        <w:spacing w:line="247" w:lineRule="auto" w:before="206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L’inventaire de données d’une structure publique est un outil dynamique et vivant qui évolue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 permanence en fonction de nouvelles collectes ou de productions de données, ou leur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arrêt, ou la découverte de nouvelles sources de données non identifiées précédemment. Les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processus décrits dans ce document ont pour objectif de développer une première version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exhaustive de l’inventaire. </w:t>
      </w:r>
    </w:p>
    <w:p>
      <w:pPr>
        <w:autoSpaceDN w:val="0"/>
        <w:autoSpaceDE w:val="0"/>
        <w:widowControl/>
        <w:spacing w:line="245" w:lineRule="auto" w:before="234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Dans un deuxième temps, dès que l’ensemble des personnels sont sensibilisés et formés, 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une fois qu’un premier inventaire complet des données est finalisé, la phase de régime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croisière de l’inventaire démarrera où les entrées seront mises à jour en fonction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l’évolution des sources de données. </w:t>
      </w:r>
    </w:p>
    <w:p>
      <w:pPr>
        <w:autoSpaceDN w:val="0"/>
        <w:autoSpaceDE w:val="0"/>
        <w:widowControl/>
        <w:spacing w:line="252" w:lineRule="auto" w:before="238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Pour les petites structures (quelques dizaines d’agents), il serait possible de conduire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entièrement la phase de déploiement sur un délais court. Mais pour la majorité des structures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publiques, la mise en place d’un premier inventaire exhaustif des données nécessiterait plus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d’efforts et de ressources. De ce fait, il est recommandé de conduire cette phase en cycles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successifs pour qu’à la fois les responsables/ agents et la structure publique puissent voir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l’intérêt et l’impact de cette tâche. Il est donc recommandé de diviser la réalisation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l’inventaire en étapes (voir la sous-section Structure organisationnelle &amp; approche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stratégique) et de conduire les étapes successives au cours de plusieurs cycles annuels et 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incluant en parallèle la publication de données, le développement de cas d’usage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réutilisation. Un cycle prendrait donc la forme suivante :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23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1.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Définition d’un objectif stratégique global pour un plan d’action annuel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2.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Réalisation de la partie de l’inventaire relative à l’objectif stratégique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3.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Publication de données en fonction de l’objectif stratégique et de l’inventaire ; </w:t>
      </w:r>
      <w:r>
        <w:rPr>
          <w:rFonts w:ascii="Calibri" w:hAnsi="Calibri" w:eastAsia="Calibri"/>
          <w:b w:val="0"/>
          <w:i w:val="0"/>
          <w:color w:val="000000"/>
          <w:sz w:val="24"/>
        </w:rPr>
        <w:t>4.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Développement de cas d’usage (internes et externes) qui démontrent l’intérêt et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l’impact de l’inventaire et de la publication de données. </w:t>
      </w:r>
    </w:p>
    <w:p>
      <w:pPr>
        <w:autoSpaceDN w:val="0"/>
        <w:autoSpaceDE w:val="0"/>
        <w:widowControl/>
        <w:spacing w:line="245" w:lineRule="auto" w:before="234" w:after="188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Concernant le calendrier d’exécution de l’inventaire dans un cycle, il est proposé de mettre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 place un calendrier court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</w:tblGrid>
      <w:tr>
        <w:trPr>
          <w:trHeight w:hRule="exact" w:val="302"/>
        </w:trPr>
        <w:tc>
          <w:tcPr>
            <w:tcW w:type="dxa" w:w="53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Activités </w:t>
            </w:r>
          </w:p>
        </w:tc>
        <w:tc>
          <w:tcPr>
            <w:tcW w:type="dxa" w:w="5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S1</w:t>
            </w: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>9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S2 </w:t>
            </w:r>
          </w:p>
        </w:tc>
        <w:tc>
          <w:tcPr>
            <w:tcW w:type="dxa" w:w="45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S3 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S4 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S5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S6 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S7 </w:t>
            </w:r>
          </w:p>
        </w:tc>
        <w:tc>
          <w:tcPr>
            <w:tcW w:type="dxa" w:w="4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S8 </w:t>
            </w:r>
          </w:p>
        </w:tc>
      </w:tr>
      <w:tr>
        <w:trPr>
          <w:trHeight w:hRule="exact" w:val="306"/>
        </w:trPr>
        <w:tc>
          <w:tcPr>
            <w:tcW w:type="dxa" w:w="53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Constitution d’un groupe de travail </w:t>
            </w:r>
          </w:p>
        </w:tc>
        <w:tc>
          <w:tcPr>
            <w:tcW w:type="dxa" w:w="5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e1f3"/>
            <w:tcMar>
              <w:start w:w="0" w:type="dxa"/>
              <w:end w:w="0" w:type="dxa"/>
            </w:tcMar>
          </w:tcPr>
          <w:p/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2"/>
        </w:trPr>
        <w:tc>
          <w:tcPr>
            <w:tcW w:type="dxa" w:w="53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Identification des cibles </w:t>
            </w:r>
          </w:p>
        </w:tc>
        <w:tc>
          <w:tcPr>
            <w:tcW w:type="dxa" w:w="5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e1f3"/>
            <w:tcMar>
              <w:start w:w="0" w:type="dxa"/>
              <w:end w:w="0" w:type="dxa"/>
            </w:tcMar>
          </w:tcPr>
          <w:p/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shd w:fill="d9e1f3"/>
            <w:tcMar>
              <w:start w:w="0" w:type="dxa"/>
              <w:end w:w="0" w:type="dxa"/>
            </w:tcMar>
          </w:tcPr>
          <w:p/>
        </w:tc>
        <w:tc>
          <w:tcPr>
            <w:tcW w:type="dxa" w:w="45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2"/>
        </w:trPr>
        <w:tc>
          <w:tcPr>
            <w:tcW w:type="dxa" w:w="53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Sensibilisation et mobilisation des cibles </w:t>
            </w:r>
          </w:p>
        </w:tc>
        <w:tc>
          <w:tcPr>
            <w:tcW w:type="dxa" w:w="538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7276" w:val="single" w:color="#000000"/>
            </w:tcBorders>
            <w:shd w:fill="d9e1f3"/>
            <w:tcMar>
              <w:start w:w="0" w:type="dxa"/>
              <w:end w:w="0" w:type="dxa"/>
            </w:tcMar>
          </w:tcPr>
          <w:p/>
        </w:tc>
        <w:tc>
          <w:tcPr>
            <w:tcW w:type="dxa" w:w="45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shd w:fill="d9e1f3"/>
            <w:tcMar>
              <w:start w:w="0" w:type="dxa"/>
              <w:end w:w="0" w:type="dxa"/>
            </w:tcMar>
          </w:tcPr>
          <w:p/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8"/>
        </w:trPr>
        <w:tc>
          <w:tcPr>
            <w:tcW w:type="dxa" w:w="53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Cartographie, classification et documentation des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données </w:t>
            </w:r>
          </w:p>
        </w:tc>
        <w:tc>
          <w:tcPr>
            <w:tcW w:type="dxa" w:w="538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0"/>
            <w:tcBorders>
              <w:start w:sz="4.0" w:val="single" w:color="#000000"/>
              <w:top w:sz="3.2000000000007276" w:val="single" w:color="#000000"/>
              <w:end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50"/>
            <w:tcBorders>
              <w:start w:sz="3.200000000000273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shd w:fill="d9e1f3"/>
            <w:tcMar>
              <w:start w:w="0" w:type="dxa"/>
              <w:end w:w="0" w:type="dxa"/>
            </w:tcMar>
          </w:tcPr>
          <w:p/>
        </w:tc>
        <w:tc>
          <w:tcPr>
            <w:tcW w:type="dxa" w:w="47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shd w:fill="d9e1f3"/>
            <w:tcMar>
              <w:start w:w="0" w:type="dxa"/>
              <w:end w:w="0" w:type="dxa"/>
            </w:tcMar>
          </w:tcPr>
          <w:p/>
        </w:tc>
        <w:tc>
          <w:tcPr>
            <w:tcW w:type="dxa" w:w="45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shd w:fill="d9e1f3"/>
            <w:tcMar>
              <w:start w:w="0" w:type="dxa"/>
              <w:end w:w="0" w:type="dxa"/>
            </w:tcMar>
          </w:tcPr>
          <w:p/>
        </w:tc>
        <w:tc>
          <w:tcPr>
            <w:tcW w:type="dxa" w:w="45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shd w:fill="d9e1f3"/>
            <w:tcMar>
              <w:start w:w="0" w:type="dxa"/>
              <w:end w:w="0" w:type="dxa"/>
            </w:tcMar>
          </w:tcPr>
          <w:p/>
        </w:tc>
        <w:tc>
          <w:tcPr>
            <w:tcW w:type="dxa" w:w="45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2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2"/>
        </w:trPr>
        <w:tc>
          <w:tcPr>
            <w:tcW w:type="dxa" w:w="53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Priorisation des données </w:t>
            </w:r>
          </w:p>
        </w:tc>
        <w:tc>
          <w:tcPr>
            <w:tcW w:type="dxa" w:w="538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shd w:fill="d9e1f3"/>
            <w:tcMar>
              <w:start w:w="0" w:type="dxa"/>
              <w:end w:w="0" w:type="dxa"/>
            </w:tcMar>
          </w:tcPr>
          <w:p/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shd w:fill="d9e1f3"/>
            <w:tcMar>
              <w:start w:w="0" w:type="dxa"/>
              <w:end w:w="0" w:type="dxa"/>
            </w:tcMar>
          </w:tcPr>
          <w:p/>
        </w:tc>
        <w:tc>
          <w:tcPr>
            <w:tcW w:type="dxa" w:w="4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6"/>
        </w:trPr>
        <w:tc>
          <w:tcPr>
            <w:tcW w:type="dxa" w:w="53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Publication de l’inventaire </w:t>
            </w:r>
          </w:p>
        </w:tc>
        <w:tc>
          <w:tcPr>
            <w:tcW w:type="dxa" w:w="538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0"/>
            <w:tcBorders>
              <w:start w:sz="4.0" w:val="single" w:color="#000000"/>
              <w:top w:sz="3.2000000000007276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0"/>
            <w:tcBorders>
              <w:start w:sz="3.200000000000273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5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5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52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shd w:fill="d9e1f3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5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1"/>
        <w:gridCol w:w="4551"/>
      </w:tblGrid>
      <w:tr>
        <w:trPr>
          <w:trHeight w:hRule="exact" w:val="836"/>
        </w:trPr>
        <w:tc>
          <w:tcPr>
            <w:tcW w:type="dxa" w:w="8126"/>
            <w:tcBorders>
              <w:top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331" w:lineRule="auto" w:before="134" w:after="0"/>
              <w:ind w:left="0" w:right="244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9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S=Semaine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Guide méthodologique pour la mise en œuvre d’un inventaire de données </w:t>
            </w:r>
          </w:p>
        </w:tc>
        <w:tc>
          <w:tcPr>
            <w:tcW w:type="dxa" w:w="902"/>
            <w:tcBorders>
              <w:top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902"/>
            </w:tblGrid>
            <w:tr>
              <w:trPr>
                <w:trHeight w:hRule="exact" w:val="470"/>
              </w:trPr>
              <w:tc>
                <w:tcPr>
                  <w:tcW w:type="dxa" w:w="892"/>
                  <w:tcBorders>
                    <w:top w:sz="3.2000000000007276" w:val="single" w:color="#EC7C30"/>
                  </w:tcBorders>
                  <w:shd w:fill="2e539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20" w:after="0"/>
                    <w:ind w:left="10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FFFFFF"/>
                      <w:sz w:val="24"/>
                    </w:rPr>
                    <w:t xml:space="preserve">19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754" w:right="1364" w:bottom="50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data.gov.ma/" TargetMode="External"/><Relationship Id="rId11" Type="http://schemas.openxmlformats.org/officeDocument/2006/relationships/hyperlink" Target="mailto:Opendata@add.gov.ma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www.dgssi.gov.ma/fr/content/loi-ndeg-0520-relative-la-cybersecurite.html#:~:text=La%20loi%2005%2D20%20relative,des%20collectivit%C3%A9s%20territoriales%2C%20des%20%C3%A9tablissements" TargetMode="External"/><Relationship Id="rId14" Type="http://schemas.openxmlformats.org/officeDocument/2006/relationships/hyperlink" Target="https://www.ilo.org/dyn/natlex/docs/ELECTRONIC/107094/131706/F-985611108/MAR-107094.pdf" TargetMode="External"/><Relationship Id="rId15" Type="http://schemas.openxmlformats.org/officeDocument/2006/relationships/hyperlink" Target="http://adala.justice.gov.ma/production/html/Fr/156780.htm" TargetMode="External"/><Relationship Id="rId16" Type="http://schemas.openxmlformats.org/officeDocument/2006/relationships/hyperlink" Target="https://specs.frictionlessdata.io/table-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