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70"/>
      </w:tblGrid>
      <w:tr>
        <w:trPr>
          <w:trHeight w:hRule="exact" w:val="3556"/>
        </w:trPr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46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47239" cy="19659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39" cy="1965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Calibri" w:hAnsi="Calibri" w:eastAsia="Calibri"/>
                <w:b/>
                <w:i w:val="0"/>
              </w:rPr>
              <w:t>publiques au Maroc</w:t>
            </w:r>
          </w:p>
        </w:tc>
      </w:tr>
    </w:tbl>
    <w:p>
      <w:pPr>
        <w:sectPr>
          <w:pgSz w:w="11906" w:h="16838"/>
          <w:pgMar w:top="1440" w:right="1296" w:bottom="13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Table des Matières </w:t>
      </w:r>
    </w:p>
    <w:p>
      <w:pPr>
        <w:sectPr>
          <w:pgSz w:w="11906" w:h="16838"/>
          <w:pgMar w:top="754" w:right="1418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Introduction : </w:t>
      </w:r>
    </w:p>
    <w:p>
      <w:pPr>
        <w:sectPr>
          <w:pgSz w:w="11906" w:h="16838"/>
          <w:pgMar w:top="75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>1.</w:t>
      </w:r>
    </w:p>
    <w:p>
      <w:pPr>
        <w:sectPr>
          <w:pgSz w:w="11906" w:h="16838"/>
          <w:pgMar w:top="75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440" w:right="0" w:hanging="360"/>
        <w:jc w:val="left"/>
      </w:pP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portail open data et le connecter au portail national pour que les jeux de données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En dehors de ces aspects techniques, un des principes clés de l’Open Data, élément de la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45" w:lineRule="auto" w:before="0" w:after="0"/>
        <w:ind w:left="1080" w:right="144" w:firstLine="0"/>
        <w:jc w:val="left"/>
      </w:pP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142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des données en mettant à jour des incohérences potentielles. Enfin, ils aident les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768" w:right="20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>2.</w:t>
      </w:r>
    </w:p>
    <w:p>
      <w:pPr>
        <w:sectPr>
          <w:pgSz w:w="11906" w:h="16838"/>
          <w:pgMar w:top="75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70780" cy="3663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66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9" w:lineRule="auto" w:before="384" w:after="0"/>
        <w:ind w:left="720" w:right="20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72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concertée sur les grands défis qui touchent le pays que ce soit lors de crises graves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fonction, il est amené à interagir avec les réutilisateurs pour fournir un support à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dans le plan annuel d’activité Open Data, le ROD facilite la priorisation des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245" w:lineRule="auto" w:before="0" w:after="0"/>
        <w:ind w:left="0" w:right="1584" w:firstLine="0"/>
        <w:jc w:val="left"/>
      </w:pPr>
      <w:r>
        <w:rPr>
          <w:rFonts w:ascii="Calibri" w:hAnsi="Calibri" w:eastAsia="Calibri"/>
          <w:b w:val="0"/>
          <w:i w:val="0"/>
        </w:rPr>
        <w:t xml:space="preserve">3. </w:t>
      </w:r>
    </w:p>
    <w:p>
      <w:pPr>
        <w:sectPr>
          <w:pgSz w:w="11906" w:h="16838"/>
          <w:pgMar w:top="75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tabs>
          <w:tab w:pos="736" w:val="left"/>
        </w:tabs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3.1. </w:t>
      </w:r>
    </w:p>
    <w:p>
      <w:pPr>
        <w:sectPr>
          <w:pgSz w:w="11906" w:h="16838"/>
          <w:pgMar w:top="748" w:right="1366" w:bottom="50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/>
        </w:rPr>
        <w:t xml:space="preserve">3.1.1.2. Classification et traitement : </w:t>
      </w:r>
    </w:p>
    <w:p>
      <w:pPr>
        <w:sectPr>
          <w:pgSz w:w="11906" w:h="16838"/>
          <w:pgMar w:top="744" w:right="1368" w:bottom="50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/>
        </w:rPr>
        <w:t xml:space="preserve">3.1.1.3. Manipulation, conversion ou altération : </w:t>
      </w:r>
    </w:p>
    <w:p>
      <w:pPr>
        <w:sectPr>
          <w:pgSz w:w="11906" w:h="16838"/>
          <w:pgMar w:top="744" w:right="1364" w:bottom="50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48" w:after="0"/>
        <w:ind w:left="28" w:right="28" w:firstLine="0"/>
        <w:jc w:val="both"/>
      </w:pPr>
      <w:r>
        <w:rPr>
          <w:rFonts w:ascii="Calibri" w:hAnsi="Calibri" w:eastAsia="Calibri"/>
          <w:b w:val="0"/>
          <w:i w:val="0"/>
        </w:rPr>
        <w:t xml:space="preserve">Les données régulièrement collectées (comme les taux d'inflation par exemple) ont besoin </w:t>
      </w:r>
    </w:p>
    <w:p>
      <w:pPr>
        <w:sectPr>
          <w:pgSz w:w="11906" w:h="16838"/>
          <w:pgMar w:top="720" w:right="1364" w:bottom="50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ouverts ne soient également pris en charge. La diffusion de données dans des formats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Enfin, Il est également important de noter qu'il peut être possible de fournir des données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720" w:right="24" w:hanging="360"/>
        <w:jc w:val="both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4" w:firstLine="0"/>
        <w:jc w:val="both"/>
      </w:pPr>
      <w:r>
        <w:rPr>
          <w:rFonts w:ascii="Calibri" w:hAnsi="Calibri" w:eastAsia="Calibri"/>
          <w:b w:val="0"/>
          <w:i w:val="0"/>
        </w:rPr>
        <w:t xml:space="preserve">d'un fichier CSV ou Excel d'entrée seront restructurées en de nouvelles colonnes définies par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610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61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Le premier terme de chaque ligne définit le nom de la colonne de destination (les termes des 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7" w:lineRule="auto" w:before="0" w:after="584"/>
        <w:ind w:left="72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voir que la mise à jour simultanée des données et du schéma représente plus de travail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3992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Les étapes sont les suivantes : </w:t>
      </w:r>
    </w:p>
    <w:p>
      <w:pPr>
        <w:sectPr>
          <w:pgSz w:w="11906" w:h="16838"/>
          <w:pgMar w:top="720" w:right="1362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81300" cy="8915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91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5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8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62" w:lineRule="auto" w:before="0" w:after="0"/>
        <w:ind w:left="360" w:right="0" w:firstLine="0"/>
        <w:jc w:val="left"/>
      </w:pPr>
      <w:r>
        <w:tab/>
      </w:r>
      <w:r>
        <w:tab/>
      </w: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22420" cy="2781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44" w:val="left"/>
          <w:tab w:pos="1104" w:val="left"/>
        </w:tabs>
        <w:autoSpaceDE w:val="0"/>
        <w:widowControl/>
        <w:spacing w:line="269" w:lineRule="auto" w:before="92" w:after="0"/>
        <w:ind w:left="384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(Cities dans l’exemple de l’image est le nom de feuille qui contient la liste) 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81810" cy="14782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0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>2.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45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tabs>
          <w:tab w:pos="384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>4.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Annexe A - Exemple complet de préparation de données : </w:t>
      </w:r>
    </w:p>
    <w:p>
      <w:pPr>
        <w:sectPr>
          <w:pgSz w:w="11906" w:h="16838"/>
          <w:pgMar w:top="75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tabs>
          <w:tab w:pos="2566" w:val="left"/>
          <w:tab w:pos="5030" w:val="left"/>
          <w:tab w:pos="6676" w:val="left"/>
          <w:tab w:pos="8832" w:val="left"/>
          <w:tab w:pos="8914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Etape 1 - Examiner les données :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Etape 3 - Dupliquer la ou les fiches de données et ne plus jamais y toucher : </w:t>
      </w:r>
    </w:p>
    <w:p>
      <w:pPr>
        <w:sectPr>
          <w:pgSz w:w="11906" w:h="16838"/>
          <w:pgMar w:top="744" w:right="1366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Par exemple, il est important de transformer un tableau qui contiendrait les cellules </w:t>
      </w:r>
    </w:p>
    <w:p>
      <w:pPr>
        <w:sectPr>
          <w:pgSz w:w="11906" w:h="16838"/>
          <w:pgMar w:top="982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05100" cy="1394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4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720" w:right="1364" w:bottom="500" w:left="1440" w:header="720" w:footer="720" w:gutter="0"/>
          <w:cols w:num="2" w:equalWidth="0">
            <w:col w:w="4342" w:space="0"/>
            <w:col w:w="47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05429" cy="13944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5429" cy="1394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30"/>
        <w:sectPr>
          <w:type w:val="nextColumn"/>
          <w:pgSz w:w="11906" w:h="16838"/>
          <w:pgMar w:top="720" w:right="1364" w:bottom="500" w:left="1440" w:header="720" w:footer="720" w:gutter="0"/>
          <w:cols w:num="2" w:equalWidth="0">
            <w:col w:w="4342" w:space="0"/>
            <w:col w:w="47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Une chose à noter dans l'exemple ci-dessus est que le % serait normalement une proportion </w:t>
      </w:r>
    </w:p>
    <w:p>
      <w:pPr>
        <w:sectPr>
          <w:type w:val="continuous"/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504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Voilà à quoi devrait ressembler les données de départ maintenant : 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" w:firstLine="0"/>
        <w:jc w:val="both"/>
      </w:pPr>
      <w:r>
        <w:rPr>
          <w:rFonts w:ascii="Calibri" w:hAnsi="Calibri" w:eastAsia="Calibri"/>
          <w:b w:val="0"/>
          <w:i w:val="0"/>
        </w:rPr>
        <w:t xml:space="preserve">exemple, 38.394.105 s'arrondit plus vite à 38 millions dans notre esprit que 38394105. Mais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d’une information. Pour ce faire, vous pouvez utiliser la formule =SPLIT(B1, "-") ou les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4" w:firstLine="0"/>
        <w:jc w:val="both"/>
      </w:pPr>
      <w:r>
        <w:rPr>
          <w:rFonts w:ascii="Calibri" w:hAnsi="Calibri" w:eastAsia="Calibri"/>
          <w:b w:val="0"/>
          <w:i w:val="0"/>
        </w:rPr>
        <w:t xml:space="preserve">Pour transformer des données au format long, il faut d’abord réfléchir à la structure du fichier </w:t>
      </w:r>
    </w:p>
    <w:sectPr w:rsidR="00FC693F" w:rsidRPr="0006063C" w:rsidSect="00034616">
      <w:pgSz w:w="11906" w:h="16838"/>
      <w:pgMar w:top="744" w:right="1364" w:bottom="5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