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2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226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Cadre mondial relatif aux produits chimiques – Pour une planète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sans produits chimiques ni déchets nocifs </w:t>
      </w:r>
    </w:p>
    <w:p>
      <w:pPr>
        <w:autoSpaceDN w:val="0"/>
        <w:autoSpaceDE w:val="0"/>
        <w:widowControl/>
        <w:spacing w:line="200" w:lineRule="exact" w:before="1330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 </w:t>
      </w:r>
    </w:p>
    <w:p>
      <w:pPr>
        <w:sectPr>
          <w:pgSz w:w="11906" w:h="16838"/>
          <w:pgMar w:top="638" w:right="924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Table des matières</w:t>
      </w:r>
    </w:p>
    <w:p>
      <w:pPr>
        <w:autoSpaceDN w:val="0"/>
        <w:tabs>
          <w:tab w:pos="1874" w:val="left"/>
        </w:tabs>
        <w:autoSpaceDE w:val="0"/>
        <w:widowControl/>
        <w:spacing w:line="222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Introduction ................................................................................................................................. 3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Vision .......................................................................................................................................... 4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III.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Champ d’application ................................................................................................................... 4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IV.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Principes et approches................................................................................................................. 4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Connaissance et information .......................................................................................... 4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2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Transparence .................................................................................................................. 4</w:t>
      </w:r>
    </w:p>
    <w:p>
      <w:pPr>
        <w:autoSpaceDN w:val="0"/>
        <w:tabs>
          <w:tab w:pos="2498" w:val="left"/>
        </w:tabs>
        <w:autoSpaceDE w:val="0"/>
        <w:widowControl/>
        <w:spacing w:line="222" w:lineRule="exact" w:before="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Droits humains ............................................................................................................... 5</w:t>
      </w:r>
    </w:p>
    <w:p>
      <w:pPr>
        <w:autoSpaceDN w:val="0"/>
        <w:tabs>
          <w:tab w:pos="2498" w:val="left"/>
        </w:tabs>
        <w:autoSpaceDE w:val="0"/>
        <w:widowControl/>
        <w:spacing w:line="222" w:lineRule="exact" w:before="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Groupes en situation de vulnérabilité ............................................................................. 5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Égalité des genres ........................................................................................................... 5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Approches préventives ................................................................................................... 5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2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Transition juste ............................................................................................................... 5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Collaboration et participation ......................................................................................... 5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Objectifs stratégiques et cibles .................................................................................................... 5</w:t>
      </w:r>
    </w:p>
    <w:p>
      <w:pPr>
        <w:autoSpaceDN w:val="0"/>
        <w:tabs>
          <w:tab w:pos="2498" w:val="left"/>
        </w:tabs>
        <w:autoSpaceDE w:val="0"/>
        <w:widowControl/>
        <w:spacing w:line="222" w:lineRule="exact" w:before="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Objectifs stratégiques ..................................................................................................... 6</w:t>
      </w:r>
    </w:p>
    <w:p>
      <w:pPr>
        <w:autoSpaceDN w:val="0"/>
        <w:tabs>
          <w:tab w:pos="2498" w:val="left"/>
        </w:tabs>
        <w:autoSpaceDE w:val="0"/>
        <w:widowControl/>
        <w:spacing w:line="222" w:lineRule="exact" w:before="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Cibles .............................................................................................................................. 6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Mécanismes d’appui à la mise en œuvre..................................................................................... 8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2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Programmes de mise en œuvre ....................................................................................... 8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Mise en œuvre au niveau national .................................................................................. 8</w:t>
      </w:r>
    </w:p>
    <w:p>
      <w:pPr>
        <w:autoSpaceDN w:val="0"/>
        <w:tabs>
          <w:tab w:pos="2498" w:val="left"/>
        </w:tabs>
        <w:autoSpaceDE w:val="0"/>
        <w:widowControl/>
        <w:spacing w:line="222" w:lineRule="exact" w:before="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Coopération et coordination au niveau régional ............................................................. 9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Participation accrue des différents secteurs et acteurs .................................................... 9</w:t>
      </w:r>
    </w:p>
    <w:p>
      <w:pPr>
        <w:autoSpaceDN w:val="0"/>
        <w:tabs>
          <w:tab w:pos="1874" w:val="left"/>
        </w:tabs>
        <w:autoSpaceDE w:val="0"/>
        <w:widowControl/>
        <w:spacing w:line="222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VII.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Questions préoccupantes ........................................................................................................... 10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Définition...................................................................................................................... 10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2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Proposition, sélection et adoption des questions .......................................................... 10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Mécanismes de mise en œuvre ..................................................................................... 11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VIII.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Renforcement des capacités ...................................................................................................... 11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IX.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Considérations financières ........................................................................................................ 12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Approche intégrée du financement ............................................................................... 12</w:t>
      </w:r>
    </w:p>
    <w:p>
      <w:pPr>
        <w:autoSpaceDN w:val="0"/>
        <w:tabs>
          <w:tab w:pos="3122" w:val="left"/>
        </w:tabs>
        <w:autoSpaceDE w:val="0"/>
        <w:widowControl/>
        <w:spacing w:line="220" w:lineRule="exact" w:before="32" w:after="0"/>
        <w:ind w:left="24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Intégration ........................................................................................................ 12</w:t>
      </w:r>
    </w:p>
    <w:p>
      <w:pPr>
        <w:autoSpaceDN w:val="0"/>
        <w:tabs>
          <w:tab w:pos="3122" w:val="left"/>
        </w:tabs>
        <w:autoSpaceDE w:val="0"/>
        <w:widowControl/>
        <w:spacing w:line="220" w:lineRule="exact" w:before="8" w:after="0"/>
        <w:ind w:left="24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Participation du secteur privé ........................................................................... 12</w:t>
      </w:r>
    </w:p>
    <w:p>
      <w:pPr>
        <w:autoSpaceDN w:val="0"/>
        <w:tabs>
          <w:tab w:pos="3122" w:val="left"/>
        </w:tabs>
        <w:autoSpaceDE w:val="0"/>
        <w:widowControl/>
        <w:spacing w:line="222" w:lineRule="exact" w:before="10" w:after="0"/>
        <w:ind w:left="24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Financement extérieur ciblé ............................................................................. 13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Mise en place de partenariats multisectoriels et participation à ces partenariats .......... 13</w:t>
      </w:r>
    </w:p>
    <w:p>
      <w:pPr>
        <w:autoSpaceDN w:val="0"/>
        <w:tabs>
          <w:tab w:pos="1874" w:val="left"/>
        </w:tabs>
        <w:autoSpaceDE w:val="0"/>
        <w:widowControl/>
        <w:spacing w:line="222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Dispositions institutionnelles .................................................................................................... 13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Conférence mondiale sur le Cadre mondial relatif aux produits chimiques – Pour une </w:t>
      </w:r>
    </w:p>
    <w:p>
      <w:pPr>
        <w:autoSpaceDN w:val="0"/>
        <w:autoSpaceDE w:val="0"/>
        <w:widowControl/>
        <w:spacing w:line="222" w:lineRule="exact" w:before="1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planète sans produits chimiques ni déchets nocifs .................................................................... 13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Bureau de la Conférence internationale ........................................................................ 14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2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Secrétariat ..................................................................................................................... 15</w:t>
      </w:r>
    </w:p>
    <w:p>
      <w:pPr>
        <w:autoSpaceDN w:val="0"/>
        <w:tabs>
          <w:tab w:pos="3122" w:val="left"/>
        </w:tabs>
        <w:autoSpaceDE w:val="0"/>
        <w:widowControl/>
        <w:spacing w:line="220" w:lineRule="exact" w:before="30" w:after="0"/>
        <w:ind w:left="24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Financement du secrétariat ............................................................................... 15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XI.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Bilan des progrès accomplis ..................................................................................................... 15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XII.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Révision et mise à jour du Cadre .............................................................................................. 16</w:t>
      </w:r>
    </w:p>
    <w:p>
      <w:pPr>
        <w:autoSpaceDN w:val="0"/>
        <w:autoSpaceDE w:val="0"/>
        <w:widowControl/>
        <w:spacing w:line="222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Annexe I ................................................................................................................................................ 17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Communication d’informations ................................................................................................ 17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Propositions .............................................................................................................................. 17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Propositions de questions ............................................................................................. 17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Examen initial et publication des propositions ............................................................. 17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III.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Plans de travail .......................................................................................................................... 18</w:t>
      </w:r>
    </w:p>
    <w:p>
      <w:pPr>
        <w:autoSpaceDN w:val="0"/>
        <w:autoSpaceDE w:val="0"/>
        <w:widowControl/>
        <w:spacing w:line="220" w:lineRule="exact" w:before="13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Annexe II ............................................................................................................................................... 19</w:t>
      </w:r>
    </w:p>
    <w:p>
      <w:pPr>
        <w:autoSpaceDN w:val="0"/>
        <w:autoSpaceDE w:val="0"/>
        <w:widowControl/>
        <w:spacing w:line="222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Annexe III ............................................................................................................................................. 22</w:t>
      </w:r>
    </w:p>
    <w:p>
      <w:pPr>
        <w:autoSpaceDN w:val="0"/>
        <w:autoSpaceDE w:val="0"/>
        <w:widowControl/>
        <w:spacing w:line="200" w:lineRule="exact" w:before="4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2 </w:t>
      </w:r>
    </w:p>
    <w:p>
      <w:pPr>
        <w:sectPr>
          <w:pgSz w:w="11906" w:h="16838"/>
          <w:pgMar w:top="458" w:right="976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8"/>
        <w:ind w:left="0" w:right="0"/>
      </w:pPr>
    </w:p>
    <w:p>
      <w:pPr>
        <w:autoSpaceDN w:val="0"/>
        <w:tabs>
          <w:tab w:pos="1226" w:val="left"/>
        </w:tabs>
        <w:autoSpaceDE w:val="0"/>
        <w:widowControl/>
        <w:spacing w:line="233" w:lineRule="auto" w:before="0" w:after="0"/>
        <w:ind w:left="65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I.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Introduction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gestion rationnelle des produits chimiques et des déchets est essentielle pour protéger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santé humaine et l’environnement. Des progrès ont été accomplis dans la réduction des effets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néfastes des produits chimiques et des déchets, mais l’objectif mondial en matière de gestion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produits chimiques adopté lors du Sommet mondial pour le développement durable (2002) –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à savoir que les produits chimiques soient utilisés et produits de manière que les effets néfastes graves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 la santé humaine et sur l’environnement soient réduits au minimum – n’avait pas été atteint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2020. Il est nécessaire que l’ensemble des parties prenantes et des secteurs prennent d’urgence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mesures plus ambitieuses afin de protéger les générations actuelles et futures.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18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produits chimiques jouent un rôle important dans notre quotidien et en font partie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intégrante par leur présence dans de nombreux matériaux, articles et produits partout dans le monde. </w:t>
      </w:r>
    </w:p>
    <w:p>
      <w:pPr>
        <w:autoSpaceDN w:val="0"/>
        <w:autoSpaceDE w:val="0"/>
        <w:widowControl/>
        <w:spacing w:line="230" w:lineRule="exact" w:before="0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Il est indispensable de les gérer de façon rationnelle pour prévenir et, lorsque la prévention n’est pas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possible, réduire au minimum les effets néfastes sur la santé humaine et l’environnement. </w:t>
      </w:r>
    </w:p>
    <w:p>
      <w:pPr>
        <w:autoSpaceDN w:val="0"/>
        <w:autoSpaceDE w:val="0"/>
        <w:widowControl/>
        <w:spacing w:line="230" w:lineRule="exact" w:before="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avantages qu’offre l’action sur les plans économique, environnemental et social sont indiscutables,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notamment en ce qui concerne la santé et le bien-être de toutes les populations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18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deuxième rapport sur les perspectives mondiales en matière de produits chimiques (Global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Chemicals Outlook II) prévient que le maintien du statu quo n’est pas envisageable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L’industrie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 mondiale pesait plus de 5 000 milliards de dollars des États-Unis en 2017 et l’on prévoyait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que ce chiffre doublerait d’ici à 2030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Des produits chimiques dangereux continuent d’être rejetés 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grandes quantités. Les données scientifiques nous mettent en garde et nous rappellent que la pollution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 les produits chimiques et les déchets va à l’encontre de la durabilité. L’exposition aux produits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dangereux et aux déchets tout au long de leur chaîne d’approvisionnement et de leur cycle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vie menace la santé humaine et a des effets disproportionnés sur les groupes vulnérables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à risque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Cadre mondial relatif aux produits chimiques – Pour une planète sans produits chimiques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ni déchets nocifs repose sur une approche multisectorielle et multipartite unique au monde. Il renforce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collaboration et la coordination entre les parties prenantes pour faire face, entre autres défis,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à la triple crise des changements climatiques, de l’appauvrissement de la biodiversité et de la pollution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frappant notre environnement commun. L’accent doit être mis sur le renforcement des capacités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gestion des produits chimiques et des déchets dans tous les pays, mais le Cadre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 pour objectif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déclencher un changement transformationnel vers une chimie durable dans les secteurs de la chimie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aval, selon une approche fondée sur le cycle de vie, au moyen de principes directeurs, d’objectifs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stratégiques clairs, de programmes et d’initiatives définis et assortis de délais, et de cibles mesurables. </w:t>
      </w:r>
    </w:p>
    <w:p>
      <w:pPr>
        <w:autoSpaceDN w:val="0"/>
        <w:tabs>
          <w:tab w:pos="1822" w:val="left"/>
        </w:tabs>
        <w:autoSpaceDE w:val="0"/>
        <w:widowControl/>
        <w:spacing w:line="232" w:lineRule="exact" w:before="116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Cadre a pour objectif de prévenir ou, lorsque la prévention n’est pas possible, de réduire au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minimum les dommages causés par les produits chimiques et les déchets afin de protéger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l’environnement et la santé humaine, y compris celle des groupes vulnérables et des travailleur(se)s. </w:t>
      </w:r>
    </w:p>
    <w:p>
      <w:pPr>
        <w:autoSpaceDN w:val="0"/>
        <w:autoSpaceDE w:val="0"/>
        <w:widowControl/>
        <w:spacing w:line="230" w:lineRule="exact" w:before="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Il est intersectoriel et axé sur l’action, avec de solides structures de gouvernance et de mesurabilité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facilitant la transparence et l’appropriation des rôles et des responsabilités et permettant d’évaluer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progrès et de promouvoir les normes internationales. Il soutient l’innovation pour fournir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meilleurs produits, plus sûrs et plus durables par leur conception, et faire progresser les modes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consommation et de production durables, notamment en s’appuyant sur l’utilisation rationnelle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ressources et les approches de l’économie circulaire. Les parties prenantes comprennent, sans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s’y limiter, les gouvernements, les organisations d’intégration économique régionale, les organisations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intergouvernementales, la société civile, les branches industrielles, les entreprises, le secteur financier,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banques de développement, les universités, les travailleur(se)s, les détaillants et les particuliers. </w:t>
      </w:r>
    </w:p>
    <w:p>
      <w:pPr>
        <w:autoSpaceDN w:val="0"/>
        <w:autoSpaceDE w:val="0"/>
        <w:widowControl/>
        <w:spacing w:line="208" w:lineRule="exact" w:before="568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Selon le rapport intitulé « 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 xml:space="preserve">Global Chemicals Outlook II − From Legacies to Innovative Solutions: Implementing 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the 2030 Agenda for Sustainable Development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» (Perspectives mondiales en matière de produits chimiques II −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Des séquelles du passé à des solutions innovantes : mise en œuvre du Programme de développement durable à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l’horizon 2030) (PNUE, 2019), « les avantages des mesures visant à réduire autant que possible les effets néfastes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ont été estimés à des dizaines de milliards de dollars par an » (p. vi). </w:t>
      </w:r>
    </w:p>
    <w:p>
      <w:pPr>
        <w:autoSpaceDN w:val="0"/>
        <w:autoSpaceDE w:val="0"/>
        <w:widowControl/>
        <w:spacing w:line="224" w:lineRule="exact" w:before="42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Ibid., p. 17. </w:t>
      </w:r>
    </w:p>
    <w:p>
      <w:pPr>
        <w:autoSpaceDN w:val="0"/>
        <w:autoSpaceDE w:val="0"/>
        <w:widowControl/>
        <w:spacing w:line="224" w:lineRule="exact" w:before="48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Ibid., p. vi. </w:t>
      </w:r>
    </w:p>
    <w:p>
      <w:pPr>
        <w:autoSpaceDN w:val="0"/>
        <w:autoSpaceDE w:val="0"/>
        <w:widowControl/>
        <w:spacing w:line="212" w:lineRule="exact" w:before="56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Les travailleurs, les agriculteurs, les femmes, les enfants et les jeunes, les peuples autochtones ; les personnes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âgées. </w:t>
      </w:r>
    </w:p>
    <w:p>
      <w:pPr>
        <w:autoSpaceDN w:val="0"/>
        <w:autoSpaceDE w:val="0"/>
        <w:widowControl/>
        <w:spacing w:line="210" w:lineRule="exact" w:before="56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La présente référence au « Cadre » et les suivantes s’entendent du Cadre mondial relatif aux produits chimiques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– Pour une planète sans produits chimiques ni déchets nocifs. </w:t>
      </w:r>
    </w:p>
    <w:p>
      <w:pPr>
        <w:autoSpaceDN w:val="0"/>
        <w:autoSpaceDE w:val="0"/>
        <w:widowControl/>
        <w:spacing w:line="200" w:lineRule="exact" w:before="4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3 </w:t>
      </w:r>
    </w:p>
    <w:p>
      <w:pPr>
        <w:sectPr>
          <w:pgSz w:w="11906" w:h="16838"/>
          <w:pgMar w:top="520" w:right="924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124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 « secteurs » on entend, entre autres, l’agriculture, l’environnement, la santé, l’éducation,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finance, le développement, la construction et la main-d’œuvre.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Cadre contribuera à la réalisation du Programme de développement durable à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l’horizon 2030 et restera pertinent pour l’action au-delà de 2030. Il est essentiel d’accomplir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progrès vers la réalisation des objectifs de développement durable dans les trois dimensions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(économique, sociale et environnementale) pour créer les conditions nécessaires à la réalisation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objectifs stratégiques et des cibles du Cadre. Le Cadre complète d’autres accords et arrangements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internationaux et appuie leur application, mais il n’est pas destiné à faire double emploi.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52" w:after="0"/>
        <w:ind w:left="5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II.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Vision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Notre vision est celle d’une planète exempte de produits chimiques et de déchets nocifs pour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 avenir sûr, sain et durable.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52" w:after="0"/>
        <w:ind w:left="45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III.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Champ d’application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champ d’application du Cadre couvre l’ensemble du cycle de vie des produits chimiques,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 compris des produits qui en contiennent et des déchets qui en résultent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Le Cadre encourage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initiatives visant à favoriser la gestion rationnelle des produits chimiques et des déchets, tient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dûment compte des autres instruments existants relatifs aux produits chimiques et aux déchets,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présente suffisamment de souplesse pour tenir compte de nouveaux instruments.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Cadre revêt un caractère multipartite et multisectoriel. Il prévoit la participation de tous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secteurs pertinents, notamment ceux de l’environnement, de la santé, de l’agriculture et du travail,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de toutes les parties prenantes qui interviennent tout au long du cycle de vie des produits chimiques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aux niveaux local, national, régional et mondial, ainsi que la prise en compte des aspects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environnementaux et sociaux qui sont essentiels à la bonne gestion des produits chimiques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des déchets.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52" w:after="0"/>
        <w:ind w:left="4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IV.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Principes et approches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mise en œuvre du Cadre devrait reposer sur les principes et les approches énoncés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dans la Déclaration de Rio sur l’environnement et le développement et, selon qu’il convient,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dans l’annexe II du Cadre et ci-dessous :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50" w:after="0"/>
        <w:ind w:left="62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Connaissance et information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2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Il existe des compétences spécialisées aux niveaux intrarégional et interrégional, et un solide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appui est apporté à la mise en commun des connaissances, y compris au partage des systèmes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connaissances traditionnels et autochtones sur la base d’un consentement préalable, libre et éclairé.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Cadre favorise la coordination et l’accès à l’information pour permettre une prise de décisions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éclairée et fondée sur la science en matière de gestion des produits chimiques et des déchets.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2" w:after="0"/>
        <w:ind w:left="124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mise en œuvre de la gestion rationnelle des produits chimiques et des déchets à tous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niveaux doit s’appuyer sur les meilleures connaissances scientifiques disponibles.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50" w:after="0"/>
        <w:ind w:left="6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Transparence </w:t>
      </w:r>
    </w:p>
    <w:p>
      <w:pPr>
        <w:autoSpaceDN w:val="0"/>
        <w:tabs>
          <w:tab w:pos="1844" w:val="left"/>
        </w:tabs>
        <w:autoSpaceDE w:val="0"/>
        <w:widowControl/>
        <w:spacing w:line="220" w:lineRule="exact" w:before="13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transparence est indispensable pour garantir des processus décisionnels éclairés et légitimes. </w:t>
      </w:r>
    </w:p>
    <w:p>
      <w:pPr>
        <w:autoSpaceDN w:val="0"/>
        <w:autoSpaceDE w:val="0"/>
        <w:widowControl/>
        <w:spacing w:line="230" w:lineRule="exact" w:before="0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Cadre favorise la transparence de l’information dans tous les aspects de la mise en œuvre.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capacité de participer aux processus décisionnels, la promotion de la sensibilisation du public,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l’accès aux informations pertinentes sur les produits chimiques et leur utilisation, ainsi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qu’aux informations relatives à l’environnement, sont fondamentaux pour la protection de la santé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humaine et de l’environnement. </w:t>
      </w:r>
    </w:p>
    <w:p>
      <w:pPr>
        <w:autoSpaceDN w:val="0"/>
        <w:tabs>
          <w:tab w:pos="1844" w:val="left"/>
        </w:tabs>
        <w:autoSpaceDE w:val="0"/>
        <w:widowControl/>
        <w:spacing w:line="232" w:lineRule="exact" w:before="118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L’accès effectif à la justice est important pour que les gens puissent faire entendre leur voix,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exercer leurs droits et lutter contre la discrimination. </w:t>
      </w:r>
    </w:p>
    <w:p>
      <w:pPr>
        <w:autoSpaceDN w:val="0"/>
        <w:autoSpaceDE w:val="0"/>
        <w:widowControl/>
        <w:spacing w:line="210" w:lineRule="exact" w:before="864" w:after="0"/>
        <w:ind w:left="124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Aux fins du présent Cadre, les expressions « les produits chimiques et les déchets » et « le cycle de vie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des produits chimiques », ainsi que les renvois à celles-ci, doivent être interprétées comme reflétant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ce champ d’application. </w:t>
      </w:r>
    </w:p>
    <w:p>
      <w:pPr>
        <w:autoSpaceDN w:val="0"/>
        <w:autoSpaceDE w:val="0"/>
        <w:widowControl/>
        <w:spacing w:line="200" w:lineRule="exact" w:before="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4 </w:t>
      </w:r>
    </w:p>
    <w:p>
      <w:pPr>
        <w:sectPr>
          <w:pgSz w:w="11906" w:h="16838"/>
          <w:pgMar w:top="458" w:right="938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tabs>
          <w:tab w:pos="1226" w:val="left"/>
        </w:tabs>
        <w:autoSpaceDE w:val="0"/>
        <w:widowControl/>
        <w:spacing w:line="230" w:lineRule="auto" w:before="0" w:after="0"/>
        <w:ind w:left="5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Droits humains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mise en œuvre d’une gestion rationnelle des produits chimiques et des déchets contribue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plein exercice des droits humains et à la pleine jouissance de la dignité et du bien-être humains.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50" w:after="0"/>
        <w:ind w:left="5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Groupes en situation de vulnérabilité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18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L’exposition aux produits chimiques et aux déchets touche souvent les personnes en situation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vulnérabilité de manière disproportionnée, notamment les enfants, les jeunes, les personnes âgées,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personnes handicapées, les femmes, les travailleur(se)s, les migrant(e)s, les agriculteur(rice)s,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personnes vivant dans la pauvreté, les peuples autochtones et les communautés locales. La mise 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œuvre du Cadre devrait tenir compte de ces groupes dans le cadre de la protection de la santé humaine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de l’environnement.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48" w:after="0"/>
        <w:ind w:left="6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Égalité des genres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femmes sont des agentes du changement et jouent un rôle essentiel dans la résolution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problèmes liés aux produits chimiques et aux déchets. Le Cadre fait progresser l’égalité des genres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 des approches reposant sur la participation pleine et égale des femmes et tenant compte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questions de genre dans tous les aspects de sa mise en œuvre, y compris dans la prise de décision.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50" w:after="0"/>
        <w:ind w:left="62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Approches préventives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18.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prévention est l’essence même de toutes les activités visant à réduire les risques liés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aux produits chimiques et aux déchets. Une approche hiérarchique consiste à donner la priorité à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prévention primaire afin de prévenir et, lorsque la prévention n’est pas possible, de réduire au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minimum l’exposition aux dangers susceptibles de provoquer des maladies et des blessures ou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d’avoir des effets néfastes sur l’environnement.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prévention de l’exposition aux produits chimiques dangereux et le remplacement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ces produits contribuent à la justice intergénérationnelle, sociale et environnementale. La mise au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point et l’utilisation de produits chimiques sûrs et durables sont au cœur des priorités pour assurer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une gestion rationnelle des produits chimiques et des déchets.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50" w:after="0"/>
        <w:ind w:left="58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G.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Transition juste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passage à une production durable peut avoir des effets inattendus sur les communautés,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santé et les moyens de subsistance. Une transition juste vers une économie durable sur le plan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environnemental, avec une gestion rationnelle des produits chimiques et des déchets, contribue à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réalisation des objectifs d’un travail décent pour tous et toutes, d’inclusion sociale, de protection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droits humains et d’éradication de la pauvreté.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50" w:after="0"/>
        <w:ind w:left="58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H.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Collaboration et participation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réseaux, les partenariats et les mécanismes de coopération technique sont importants pour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garantir l’efficacité du renforcement des capacités, des travaux ayant trait aux questions d’intérêt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commun et de l’échange d’informations, étant entendu qu’ils doivent prendre en compte la situation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pays en développement et leurs besoins en matière de renforcement des capacités.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52" w:after="0"/>
        <w:ind w:left="5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V.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Objectifs stratégiques et cibles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objectifs stratégiques énoncés ci-dessous guideront les parties prenantes dans les efforts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qu’elles déploieront à tous les niveaux pour assurer une gestion rationnelle des produits chimiques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déchets.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23.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La réalisation des objectifs stratégiques et des cibles connexes suppose de mettre en œuvre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trois volets de l’approche intégrée du financement, à savoir l’intégration, la participation du secteur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privé, et le recensement et la mobilisation de financements extérieurs ciblés, qui sont tous d’égale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importance et se renforcent mutuellement. Le renforcement des moyens permettant d’assurer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 financement à long terme durable, prévisible, suffisant et accessible, provenant de toutes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sources possibles, est également indispensable à la réalisation des objectifs et cibles du Cadre. </w:t>
      </w:r>
    </w:p>
    <w:p>
      <w:pPr>
        <w:autoSpaceDN w:val="0"/>
        <w:autoSpaceDE w:val="0"/>
        <w:widowControl/>
        <w:spacing w:line="200" w:lineRule="exact" w:before="84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5 </w:t>
      </w:r>
    </w:p>
    <w:p>
      <w:pPr>
        <w:sectPr>
          <w:pgSz w:w="11906" w:h="16838"/>
          <w:pgMar w:top="458" w:right="924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tabs>
          <w:tab w:pos="1248" w:val="left"/>
        </w:tabs>
        <w:autoSpaceDE w:val="0"/>
        <w:widowControl/>
        <w:spacing w:line="230" w:lineRule="auto" w:before="0" w:after="0"/>
        <w:ind w:left="62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Objectifs stratégiques </w:t>
      </w:r>
    </w:p>
    <w:p>
      <w:pPr>
        <w:autoSpaceDN w:val="0"/>
        <w:tabs>
          <w:tab w:pos="1874" w:val="left"/>
        </w:tabs>
        <w:autoSpaceDE w:val="0"/>
        <w:widowControl/>
        <w:spacing w:line="230" w:lineRule="exact" w:before="122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cadres juridiques, des mécanismes institutionnels et des capacités sont en place afin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concourir et de parvenir à une gestion sûre et durable des produits chimiques et des déchets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tout au long de leur cycle de vie. </w:t>
      </w:r>
    </w:p>
    <w:p>
      <w:pPr>
        <w:autoSpaceDN w:val="0"/>
        <w:tabs>
          <w:tab w:pos="1874" w:val="left"/>
        </w:tabs>
        <w:autoSpaceDE w:val="0"/>
        <w:widowControl/>
        <w:spacing w:line="230" w:lineRule="exact" w:before="116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connaissances, données et informations exhaustives et adéquates sont produites, mises à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disposition et rendues accessibles à tous et toutes afin de permettre la prise de décisions et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mesures en connaissance de cause. 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questions préoccupantes sont circonscrites, hiérarchisées et traitées. </w:t>
      </w:r>
    </w:p>
    <w:p>
      <w:pPr>
        <w:autoSpaceDN w:val="0"/>
        <w:tabs>
          <w:tab w:pos="1874" w:val="left"/>
        </w:tabs>
        <w:autoSpaceDE w:val="0"/>
        <w:widowControl/>
        <w:spacing w:line="230" w:lineRule="exact" w:before="120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produits de substitution plus sûrs et des solutions innovantes et durables sont en place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dans les chaînes de valeur afin de maximiser les avantages pour la santé humaine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l’environnement et de prévenir les risques ou, lorsque la prévention n’est pas possible,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réduire au minimum. </w:t>
      </w:r>
    </w:p>
    <w:p>
      <w:pPr>
        <w:autoSpaceDN w:val="0"/>
        <w:tabs>
          <w:tab w:pos="1874" w:val="left"/>
        </w:tabs>
        <w:autoSpaceDE w:val="0"/>
        <w:widowControl/>
        <w:spacing w:line="230" w:lineRule="exact" w:before="120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mise en œuvre est renforcée grâce à l’intensification et à l’amélioration de l’efficacité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la mobilisation des ressources, des partenariats, de la coopération, du renforcement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capacités, et de l’intégration dans l’ensemble des processus décisionnels pertinents.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48" w:after="0"/>
        <w:ind w:left="6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Cibles </w:t>
      </w:r>
    </w:p>
    <w:p>
      <w:pPr>
        <w:autoSpaceDN w:val="0"/>
        <w:autoSpaceDE w:val="0"/>
        <w:widowControl/>
        <w:spacing w:line="232" w:lineRule="exact" w:before="118" w:after="0"/>
        <w:ind w:left="1248" w:right="288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A1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pays adoptent, mettent en œuvre et font appliquer des cadres juridiques,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se dotent de capacités institutionnelles appropriées pour prévenir ou, lorsque la prévention n’est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pas possible, réduire au minimum les effets néfastes des produits chimiques et des déchets. </w:t>
      </w:r>
    </w:p>
    <w:p>
      <w:pPr>
        <w:autoSpaceDN w:val="0"/>
        <w:autoSpaceDE w:val="0"/>
        <w:widowControl/>
        <w:spacing w:line="230" w:lineRule="exact" w:before="120" w:after="0"/>
        <w:ind w:left="1248" w:right="432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A2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parties prenantes intergouvernementales élaborent des directives pour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répondre aux besoins des gouvernements intéressés et des acteurs compétents en matière de mise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œuvre de stratégies efficaces de gestion des produits chimiques et des déchets, en utilisant,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notamment, les versions mises à jour de la boîte à outils pour la prise de décisions en matière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gestion des produits chimiques du Programme interorganisations pour la gestion rationnelle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produits chimiques. </w:t>
      </w:r>
    </w:p>
    <w:p>
      <w:pPr>
        <w:autoSpaceDN w:val="0"/>
        <w:autoSpaceDE w:val="0"/>
        <w:widowControl/>
        <w:spacing w:line="230" w:lineRule="exact" w:before="120" w:after="0"/>
        <w:ind w:left="1248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A3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entreprises mettent en œuvre les mesures définies pour prévenir ou, lorsque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prévention n’est pas possible, réduire au minimum les effets néfastes des produits chimiques tout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long de leur cycle de vie. </w:t>
      </w:r>
    </w:p>
    <w:p>
      <w:pPr>
        <w:autoSpaceDN w:val="0"/>
        <w:autoSpaceDE w:val="0"/>
        <w:widowControl/>
        <w:spacing w:line="232" w:lineRule="exact" w:before="116" w:after="0"/>
        <w:ind w:left="1248" w:right="432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A4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parties prenantes parviennent à prévenir efficacement tout commerce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illicite et trafic de produits chimiques et de déchets. </w:t>
      </w:r>
    </w:p>
    <w:p>
      <w:pPr>
        <w:autoSpaceDN w:val="0"/>
        <w:autoSpaceDE w:val="0"/>
        <w:widowControl/>
        <w:spacing w:line="230" w:lineRule="exact" w:before="120" w:after="0"/>
        <w:ind w:left="1248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A5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gouvernements font en sorte de parvenir à notifier, réglementer ou interdire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exportations de produits chimiques qu’ils ont interdits au niveau national, conformément à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leurs obligations internationales. </w:t>
      </w:r>
    </w:p>
    <w:p>
      <w:pPr>
        <w:autoSpaceDN w:val="0"/>
        <w:autoSpaceDE w:val="0"/>
        <w:widowControl/>
        <w:spacing w:line="232" w:lineRule="exact" w:before="116" w:after="0"/>
        <w:ind w:left="1248" w:right="450" w:firstLine="0"/>
        <w:jc w:val="both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A6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tous les pays offrent un accès à des centres antipoison dotés des capacités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essentielles pour prévenir les empoisonnements et y faire face, ainsi qu’un accès à des formations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à la prévention des risques chimiques et à la toxicologie clinique. </w:t>
      </w:r>
    </w:p>
    <w:p>
      <w:pPr>
        <w:autoSpaceDN w:val="0"/>
        <w:autoSpaceDE w:val="0"/>
        <w:widowControl/>
        <w:spacing w:line="230" w:lineRule="exact" w:before="120" w:after="0"/>
        <w:ind w:left="1248" w:right="144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A7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2035, les parties prenantes se dotent de mesures efficaces pour éliminer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progressivement les pesticides hautement dangereux dans l’agriculture lorsque les risques n’ont pas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été gérés et qu’il existe des solutions de remplacement plus sûres et abordables, et pour promouvoir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transition vers ces solutions de remplacement et les rendre disponibles. </w:t>
      </w:r>
    </w:p>
    <w:p>
      <w:pPr>
        <w:autoSpaceDN w:val="0"/>
        <w:autoSpaceDE w:val="0"/>
        <w:widowControl/>
        <w:spacing w:line="230" w:lineRule="exact" w:before="122" w:after="0"/>
        <w:ind w:left="1248" w:right="288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B1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2035, des données et des informations exhaustives sur les propriétés des produits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sont produites et rendues disponibles et accessibles. </w:t>
      </w:r>
    </w:p>
    <w:p>
      <w:pPr>
        <w:autoSpaceDN w:val="0"/>
        <w:autoSpaceDE w:val="0"/>
        <w:widowControl/>
        <w:spacing w:line="232" w:lineRule="exact" w:before="118" w:after="0"/>
        <w:ind w:left="1248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B2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parties prenantes diffusent, dans la mesure du possible, des informations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fiables sur les produits chimiques contenus dans les matériaux et les produits tout au long de la chaîne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valeur. </w:t>
      </w:r>
    </w:p>
    <w:p>
      <w:pPr>
        <w:autoSpaceDN w:val="0"/>
        <w:autoSpaceDE w:val="0"/>
        <w:widowControl/>
        <w:spacing w:line="230" w:lineRule="exact" w:before="118" w:after="0"/>
        <w:ind w:left="1248" w:right="432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B3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2035, les parties prenantes génèrent des données sur la production des produits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chimiques, y compris ceux contenus dans les matériaux et produits, en plus des données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 les émissions et les rejets de produits chimiques et de déchets dans l’environnement,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les rendant disponibles et accessibles au public. </w:t>
      </w:r>
    </w:p>
    <w:p>
      <w:pPr>
        <w:autoSpaceDN w:val="0"/>
        <w:autoSpaceDE w:val="0"/>
        <w:widowControl/>
        <w:spacing w:line="228" w:lineRule="exact" w:before="124" w:after="0"/>
        <w:ind w:left="1248" w:right="144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B4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2035, les parties prenantes appliquent des directives appropriées, les meilleures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pratiques en vigueur et des outils normalisés pour l’évaluation des dangers et des risques et la gestion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produits chimiques et des déchets. </w:t>
      </w:r>
    </w:p>
    <w:p>
      <w:pPr>
        <w:autoSpaceDN w:val="0"/>
        <w:autoSpaceDE w:val="0"/>
        <w:widowControl/>
        <w:spacing w:line="200" w:lineRule="exact" w:before="1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6 </w:t>
      </w:r>
    </w:p>
    <w:p>
      <w:pPr>
        <w:sectPr>
          <w:pgSz w:w="11906" w:h="16838"/>
          <w:pgMar w:top="458" w:right="938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28" w:lineRule="exact" w:before="0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B5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des programmes d’éducation, de formation et de sensibilisation du public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portant sur la sécurité chimique, la durabilité, les solutions de remplacement plus sûres et les avantages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la réduction des risques liés aux produits chimiques et aux déchets sont élaborés et mis en œuvre,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tenant compte des questions de genre. </w:t>
      </w:r>
    </w:p>
    <w:p>
      <w:pPr>
        <w:autoSpaceDN w:val="0"/>
        <w:autoSpaceDE w:val="0"/>
        <w:widowControl/>
        <w:spacing w:line="230" w:lineRule="exact" w:before="122" w:after="0"/>
        <w:ind w:left="1226" w:right="576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B6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tous les gouvernements mettent en œuvre le Système général harmonisé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classification et d’étiquetage des produits chimiques (SGH) dans tous les secteurs pertinents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fonction de la situation nationale. </w:t>
      </w:r>
    </w:p>
    <w:p>
      <w:pPr>
        <w:autoSpaceDN w:val="0"/>
        <w:autoSpaceDE w:val="0"/>
        <w:widowControl/>
        <w:spacing w:line="230" w:lineRule="exact" w:before="120" w:after="0"/>
        <w:ind w:left="1226" w:right="432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B7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parties prenantes produisent, dans la mesure du possible, et mettent à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disposition des données et informations de suivi et de surveillance exhaustives et accessibles sur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concentrations et les sources potentielles d’exposition aux produits chimiques chez les êtres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humains (ventilées par sexe, âge, région, et selon d’autres facteurs démographiques, ainsi que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d’autres déterminants de la santé pertinents, si possible), dans d’autres biotes et dans les milieux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naturels. </w:t>
      </w:r>
    </w:p>
    <w:p>
      <w:pPr>
        <w:autoSpaceDN w:val="0"/>
        <w:autoSpaceDE w:val="0"/>
        <w:widowControl/>
        <w:spacing w:line="230" w:lineRule="exact" w:before="118" w:after="0"/>
        <w:ind w:left="1226" w:right="288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C1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des processus et des programmes de travail assortis d’échéances sont établis, adoptés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mis en œuvre pour les questions préoccupantes recensées. </w:t>
      </w:r>
    </w:p>
    <w:p>
      <w:pPr>
        <w:autoSpaceDN w:val="0"/>
        <w:autoSpaceDE w:val="0"/>
        <w:widowControl/>
        <w:spacing w:line="230" w:lineRule="exact" w:before="120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D1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entreprises investissent durablement dans des moyens innovants et mettent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point des innovations permettant de faire progresser la chimie durable et l’utilisation rationnelle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ressources tout au long du cycle de vie des produits chimiques. </w:t>
      </w:r>
    </w:p>
    <w:p>
      <w:pPr>
        <w:autoSpaceDN w:val="0"/>
        <w:autoSpaceDE w:val="0"/>
        <w:widowControl/>
        <w:spacing w:line="230" w:lineRule="exact" w:before="120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D2 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d’ici à 2035, les gouvernements mettent en œuvre des politiques qui favorisent l’utilisation,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dans la production, de solutions de remplacement plus sûres et d’approches durables tout au long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 cycle de vie, y compris les meilleures techniques disponibles, les pratiques d’achats écologiques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les approches fondées sur l’économie circulaire. </w:t>
      </w:r>
    </w:p>
    <w:p>
      <w:pPr>
        <w:autoSpaceDN w:val="0"/>
        <w:autoSpaceDE w:val="0"/>
        <w:widowControl/>
        <w:spacing w:line="230" w:lineRule="exact" w:before="120" w:after="0"/>
        <w:ind w:left="1226" w:right="144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D3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 secteur privé, y compris le secteur de la finance, intègre des stratégies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politiques visant à mettre en œuvre la gestion rationnelle des produits chimiques et des déchets dans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ses méthodes de financement et ses modèles commerciaux, et applique les normes d’information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internationalement reconnues, ou leur équivalent. </w:t>
      </w:r>
    </w:p>
    <w:p>
      <w:pPr>
        <w:autoSpaceDN w:val="0"/>
        <w:autoSpaceDE w:val="0"/>
        <w:widowControl/>
        <w:spacing w:line="230" w:lineRule="exact" w:before="118" w:after="0"/>
        <w:ind w:left="1226" w:right="288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D4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parties prenantes concernées donnent la priorité, dans leurs programmes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recherche et d’innovation, à des solutions durables et à des solutions de remplacement plus sûres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substances nocives contenues dans les produits et les mélanges, y compris les produits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consommation. </w:t>
      </w:r>
    </w:p>
    <w:p>
      <w:pPr>
        <w:autoSpaceDN w:val="0"/>
        <w:autoSpaceDE w:val="0"/>
        <w:widowControl/>
        <w:spacing w:line="230" w:lineRule="exact" w:before="118" w:after="0"/>
        <w:ind w:left="1226" w:right="144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D5 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d’ici à 2030, les gouvernements mettent en œuvre des politiques et des programmes visant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à accroître l’appui aux pratiques agricoles plus sûres et plus durables, y compris l’agroécologie,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lutte intégrée contre les ravageurs et l’utilisation de solutions de remplacement non chimiques,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selon qu’il convient. </w:t>
      </w:r>
    </w:p>
    <w:p>
      <w:pPr>
        <w:autoSpaceDN w:val="0"/>
        <w:autoSpaceDE w:val="0"/>
        <w:widowControl/>
        <w:spacing w:line="230" w:lineRule="exact" w:before="120" w:after="0"/>
        <w:ind w:left="1226" w:right="288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D6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des stratégies de gestion durable des produits chimiques et des déchets sont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élaborées et mises en œuvre dans les principaux secteurs économiques et industriels, et recensent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produits chimiques préoccupants d’intérêt prioritaire, ainsi que les normes et mesures, telles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que la méthode reposant sur l’empreinte chimique, visant à réduire l’impact de ces produits et,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dans la mesure du possible, leur utilisation tout au long de la chaîne de valeur.</w:t>
      </w:r>
    </w:p>
    <w:p>
      <w:pPr>
        <w:autoSpaceDN w:val="0"/>
        <w:autoSpaceDE w:val="0"/>
        <w:widowControl/>
        <w:spacing w:line="230" w:lineRule="exact" w:before="120" w:after="0"/>
        <w:ind w:left="1226" w:right="288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D7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parties prenantes mettent en œuvre des mesures et activités destinées à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garantir l’efficacité des pratiques en matière de santé et de sécurité au travail, ainsi que des mesures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protection de l’environnement dans tous les secteurs pertinents et tout au long de la chaîne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d’approvisionnement. </w:t>
      </w:r>
    </w:p>
    <w:p>
      <w:pPr>
        <w:autoSpaceDN w:val="0"/>
        <w:autoSpaceDE w:val="0"/>
        <w:widowControl/>
        <w:spacing w:line="232" w:lineRule="exact" w:before="116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E1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2035, les gouvernements s’attachent à généraliser la gestion rationnelle des produits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et des déchets en la mettant en œuvre dans l’ensemble des plans sectoriels, des budgets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plans de développement, et des politiques et programmes d’aide au développement pertinents. </w:t>
      </w:r>
    </w:p>
    <w:p>
      <w:pPr>
        <w:autoSpaceDN w:val="0"/>
        <w:autoSpaceDE w:val="0"/>
        <w:widowControl/>
        <w:spacing w:line="232" w:lineRule="exact" w:before="118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E2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partenariats et les réseaux entre secteurs et parties prenantes sont renforcés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vue de parvenir à une gestion rationnelle des produits chimiques et des déchets. </w:t>
      </w:r>
    </w:p>
    <w:p>
      <w:pPr>
        <w:autoSpaceDN w:val="0"/>
        <w:autoSpaceDE w:val="0"/>
        <w:widowControl/>
        <w:spacing w:line="230" w:lineRule="exact" w:before="118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E3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les ressources financières adéquates, prévisibles et durables, provenant de toutes les sources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possibles, et nécessaires pour continuer à avancer sur la voie de la gestion rationnelle des produits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et des déchets sont recensées et mobilisées conformément à la vision, aux objectifs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stratégiques et aux cibles du Cadre dans tous les secteurs, par et pour l’ensemble des parties prenantes,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 compris en mobilisant des financements privés et en favorisant le recours à des mécanismes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financement novateurs et mixtes. </w:t>
      </w:r>
    </w:p>
    <w:p>
      <w:pPr>
        <w:autoSpaceDN w:val="0"/>
        <w:autoSpaceDE w:val="0"/>
        <w:widowControl/>
        <w:spacing w:line="200" w:lineRule="exact" w:before="33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7 </w:t>
      </w:r>
    </w:p>
    <w:p>
      <w:pPr>
        <w:sectPr>
          <w:pgSz w:w="11906" w:h="16838"/>
          <w:pgMar w:top="458" w:right="924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28" w:lineRule="exact" w:before="0" w:after="0"/>
        <w:ind w:left="1248" w:right="440" w:firstLine="0"/>
        <w:jc w:val="both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E4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les déficits de financement à combler pour assurer une gestion rationnelle des produits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et des déchets sont identifiés et pris en compte aux fins du renforcement des capacités,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notamment par le biais du Fonds pour le Cadre mondial relatif aux produits chimiques. </w:t>
      </w:r>
    </w:p>
    <w:p>
      <w:pPr>
        <w:autoSpaceDN w:val="0"/>
        <w:autoSpaceDE w:val="0"/>
        <w:widowControl/>
        <w:spacing w:line="232" w:lineRule="exact" w:before="116" w:after="0"/>
        <w:ind w:left="1248" w:right="144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E5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gouvernements prennent des mesures pour mettre en place des politiques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visant à internaliser les coûts de la gestion rationnelle des produits chimiques et des déchets par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différents moyens. </w:t>
      </w:r>
    </w:p>
    <w:p>
      <w:pPr>
        <w:autoSpaceDN w:val="0"/>
        <w:autoSpaceDE w:val="0"/>
        <w:widowControl/>
        <w:spacing w:line="230" w:lineRule="exact" w:before="120" w:after="0"/>
        <w:ind w:left="1248" w:right="144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0"/>
        </w:rPr>
        <w:t>Cible E6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d’ici à 2030, les parties prenantes recensent et renforcent, le cas échéant, les synergies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liens entre la gestion des produits chimiques et des déchets et d’autres politiques essentielles 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matière d’environnement, de santé et de travail, notamment celles concernant les solutions face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aux changements climatiques, la préservation de la biodiversité, la protection des droits humains,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couverture sanitaire universelle ou les soins de santé primaires. </w:t>
      </w:r>
    </w:p>
    <w:p>
      <w:pPr>
        <w:autoSpaceDN w:val="0"/>
        <w:tabs>
          <w:tab w:pos="1248" w:val="left"/>
        </w:tabs>
        <w:autoSpaceDE w:val="0"/>
        <w:widowControl/>
        <w:spacing w:line="233" w:lineRule="auto" w:before="250" w:after="0"/>
        <w:ind w:left="4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VI.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Mécanismes d’appui à la mise en œuvre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48" w:after="0"/>
        <w:ind w:left="62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Programmes de mise en œuvre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sur le Cadre mondial relatif aux produits chimiques – Pour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une planète sans produits chimiques ni déchets nocifs (ci-après dénommée « la Conférence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internationale ») peut adopter des programmes destinés à appuyer la mise en œuvre du Cadre aux fins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la réalisation de ses objectifs, tels qu’ils sont présentés dans la section V, intitulé « Objectifs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stratégiques et cibles ». Ces programmes devraient avoir leur propre angle et faire appel aux secteurs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parties prenantes concernés. Ils pourraient couvrir, dans un format souple et dynamique, les actions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que les parties prenantes ont l’intention de lancer, ou auxquelles elles comptent contribuer, aux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niveaux national, régional et/ou international afin d’atteindre les cibles pertinentes définies dans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section V. Ces programmes devraient également prévoir les mandats, missions, plans de travail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et/ou autres mécanismes nécessaires, y compris les mesures visant à remédier aux problèmes recensés,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s’il y a lieu, en vue de contribuer au succès du Cadre dans son ensemble et à la réalisation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ses objectifs stratégiques.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participation à chacun des programmes de mise en œuvre devrait être ouverte à l’ensemble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parties prenantes et des secteurs concernés. La Conférence internationale peut créer des groupes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travail spéciaux qui seront chargés d’orienter et de dynamiser les travaux, ainsi que de stimuler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participation. Outre les acteurs spécifiquement mentionnés dans les cibles, la Conférence devrait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inviter le Programme interorganisations pour la gestion rationnelle des produits chimiques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organisations intergouvernementales à contribuer activement aux programmes de mise en œuvre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afin de faciliter l’application du Cadre et de renforcer plus avant la coopération internationale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collaboration multisectorielle en faveur d’une gestion rationnelle des produits chimiques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déchets.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48" w:after="0"/>
        <w:ind w:left="6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Mise en œuvre au niveau national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Pour soutenir une approche intégrée de la gestion rationnelle des produits chimiques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déchets, chaque gouvernement devrait mettre en place des dispositifs tels que des plans d’action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nationaux de mise en œuvre sur une base interministérielle ou interinstitutionnelle, en consultation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avec les parties prenantes, afin que les intérêts des services nationaux concernés et ceux des parties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prenantes soient représentés et que tous les domaines de fond pertinents puissent être abordés.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Chaque gouvernement devrait désigner un(e) correspondant(e) national(e) pour faciliter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communication et la coordination aux niveaux national, régional et international concernant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Cadre. Le (la) correspondant(e) national(e) devrait, entre autres tâches, diffuser des informations,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mettre en place un réseau ou un mécanisme pour coordonner les points de vue nationaux,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prévoyant des consultations avec tous les secteurs et acteurs concernés, participer à des réunions,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être représentatif des dispositifs interministériels ou interinstitutionnels du pays, lorsque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tels dispositifs existent.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28.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Pour soutenir une mise en œuvre efficace, des efforts accrus sont requis pour garantir que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mise en œuvre au niveau national fasse intervenir l’éventail souhaitable d’acteurs et de secteurs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(santé, environnement, agriculture, travail, etc.) afin de répondre aux priorités nationales. </w:t>
      </w:r>
    </w:p>
    <w:p>
      <w:pPr>
        <w:autoSpaceDN w:val="0"/>
        <w:tabs>
          <w:tab w:pos="1248" w:val="left"/>
          <w:tab w:pos="1844" w:val="left"/>
        </w:tabs>
        <w:autoSpaceDE w:val="0"/>
        <w:widowControl/>
        <w:spacing w:line="230" w:lineRule="exact" w:before="12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gouvernements peuvent élaborer un plan d’action ou un programme national 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consultation avec d’autres parties prenantes afin de poursuivre les efforts de mise en œuvre au niveau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national. Ce plan ou programme peut être utilisé pour étayer les rapports sur les progrès réalisés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cours de la période considérée, à présenter au titre de la présente section du Cadre, en gardant à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8 </w:t>
      </w:r>
    </w:p>
    <w:p>
      <w:pPr>
        <w:sectPr>
          <w:pgSz w:w="11906" w:h="16838"/>
          <w:pgMar w:top="458" w:right="972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28" w:lineRule="exact" w:before="0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l’esprit que ces plans ou programmes doivent être adaptés aux actions et mesures nationales et 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doivent pas faire double emploi avec les dispositions en vigueur ou d’autres dispositions en matière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d’établissement de rapports. </w:t>
      </w:r>
    </w:p>
    <w:p>
      <w:pPr>
        <w:autoSpaceDN w:val="0"/>
        <w:tabs>
          <w:tab w:pos="1822" w:val="left"/>
        </w:tabs>
        <w:autoSpaceDE w:val="0"/>
        <w:widowControl/>
        <w:spacing w:line="232" w:lineRule="exact" w:before="116" w:after="0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Toutes les parties prenantes devraient prendre des mesures pour promouvoir la réalisation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objectifs stratégiques et des cibles qui leur sont associées.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48" w:after="0"/>
        <w:ind w:left="5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Coopération et coordination au niveau régional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priorités et les capacités de mise en œuvre varient d’une région à l’autre, leurs situations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économiques et circonstances respectives.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collaboration internationale, régionale et sectorielle joue un rôle essentiel dans le soutien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apporté à la gestion rationnelle des produits chimiques et des déchets à tous les niveaux, y compris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entre les partenaires commerciaux et les organisations régionales.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réunions et les mécanismes de coordination internationaux et régionaux jouent un rôle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essentiel en permettant aux parties prenantes de chaque région d’échanger leurs expériences,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d’identifier les besoins prioritaires en matière de mise en œuvre, et d’élaborer des positions régionales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 les questions clés. </w:t>
      </w:r>
    </w:p>
    <w:p>
      <w:pPr>
        <w:autoSpaceDN w:val="0"/>
        <w:tabs>
          <w:tab w:pos="1822" w:val="left"/>
        </w:tabs>
        <w:autoSpaceDE w:val="0"/>
        <w:widowControl/>
        <w:spacing w:line="220" w:lineRule="exact" w:before="128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régions sont encouragées, s’il y a lieu, à : </w:t>
      </w:r>
    </w:p>
    <w:p>
      <w:pPr>
        <w:autoSpaceDN w:val="0"/>
        <w:tabs>
          <w:tab w:pos="2476" w:val="left"/>
        </w:tabs>
        <w:autoSpaceDE w:val="0"/>
        <w:widowControl/>
        <w:spacing w:line="222" w:lineRule="exact" w:before="130" w:after="0"/>
        <w:ind w:left="1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Définir des priorités communes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b)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Élaborer des plans régionaux de mise en œuvre pour la gestion rationnelle des produits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et des déchets, et envisager des approches et des projets régionaux ou infrarégionaux ; </w:t>
      </w:r>
    </w:p>
    <w:p>
      <w:pPr>
        <w:autoSpaceDN w:val="0"/>
        <w:tabs>
          <w:tab w:pos="2476" w:val="left"/>
        </w:tabs>
        <w:autoSpaceDE w:val="0"/>
        <w:widowControl/>
        <w:spacing w:line="220" w:lineRule="exact" w:before="130" w:after="0"/>
        <w:ind w:left="1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Désigner un(e) correspondant(e) régional(e).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18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35.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correspondant(e)s régionaux(les) doivent jouer un rôle de facilitateur au sein 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leur région, notamment en entreprenant certaines activités déterminées au niveau régional, comme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assurer la présidence de réunions régionales, diffuser des informations présentant un intérêt pour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autres correspondant(e)s de leur région, recueillir les points de vue des correspondant(e)s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nationaux(les) sur des questions présentant un intérêt pour leur région, repérer des possibilités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coopération régionale, aider à transmettre les informations et les points de vue émanant de la région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membre du Bureau qui la représente, s’il y a lieu, et établir des rapports périodiques sur les résultats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travaux des réunions régionales et d’autres activités menées au niveau de la région.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50" w:after="0"/>
        <w:ind w:left="5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Participation accrue des différents secteurs et acteurs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participation et l’engagement de tous les secteurs et acteurs concernés aux niveaux local,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national, régional et international sont essentiels pour la gestion rationnelle des produits chimiques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tout au long de leur cycle de vie. </w:t>
      </w:r>
    </w:p>
    <w:p>
      <w:pPr>
        <w:autoSpaceDN w:val="0"/>
        <w:tabs>
          <w:tab w:pos="1822" w:val="left"/>
        </w:tabs>
        <w:autoSpaceDE w:val="0"/>
        <w:widowControl/>
        <w:spacing w:line="232" w:lineRule="exact" w:before="116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niveau national, les gouvernements devraient entreprendre, le cas échéant, des démarches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visant à établir ou améliorer les cadres réglementaires et non réglementaires ainsi que les structures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capacités institutionnelles nécessaires pour assurer la cohérence multisectorielle.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38.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conventions, programmes, centres, organes et processus régionaux pertinents, tels que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forums ministériels sur les questions liées à la santé, au travail et à l’environnement, sont invités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à soutenir et à amplifier ces efforts nationaux en encourageant la coordination et la coopération.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18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Programme interorganisations pour la gestion rationnelle des produits chimiques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organisations intergouvernementales sont invités à contribuer activement à la mise en œuvre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 Cadre et à continuer de promouvoir un large engagement des organisations intergouvernementales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concernées ainsi que la coordination de leurs politiques, programmes de travail et activités, afin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renforcer encore la coopération internationale et l’engagement multisectoriel en faveur d’une gestion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rationnelle des produits chimiques et des déchets.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18" w:after="0"/>
        <w:ind w:left="122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40.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efforts accrus de tous les secteurs et acteurs concernés devraient tendre à intensifier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 améliorer : a) les actions menées par les différents secteurs et acteurs ; b) la collaboration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entre et parmi les principaux groupes sectoriels et parties prenantes ; c) le dialogue multipartite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multisectoriel tout au long de la mise en œuvre du Cadre ; d) les contributions, selon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qu’il convient, à la réalisation de la vision commune et des objectifs et cibles du Cadre. </w:t>
      </w:r>
    </w:p>
    <w:p>
      <w:pPr>
        <w:autoSpaceDN w:val="0"/>
        <w:tabs>
          <w:tab w:pos="1822" w:val="left"/>
        </w:tabs>
        <w:autoSpaceDE w:val="0"/>
        <w:widowControl/>
        <w:spacing w:line="226" w:lineRule="exact" w:before="126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Toutes les parties prenantes, en particulier le secteur public, y compris les services de santé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de soins, sont invitées à contribuer davantage à la gestion rationnelle des produits chimiques et </w:t>
      </w:r>
    </w:p>
    <w:p>
      <w:pPr>
        <w:autoSpaceDN w:val="0"/>
        <w:autoSpaceDE w:val="0"/>
        <w:widowControl/>
        <w:spacing w:line="200" w:lineRule="exact" w:before="21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9 </w:t>
      </w:r>
    </w:p>
    <w:p>
      <w:pPr>
        <w:sectPr>
          <w:pgSz w:w="11906" w:h="16838"/>
          <w:pgMar w:top="458" w:right="924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28" w:lineRule="exact" w:before="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déchets, au moyen de politiques, de contrats et de pratiques sûrs et durables en matière de produits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et de déchets sur les lieux de travail et au sein des communautés, et au moyen de politiques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d’achat qui privilégient les pratiques de protection.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participation de l’industrie et du secteur privé tout au long de la chaîne de valeur doit être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considérablement renforcée dans le présent Cadre, et à tous les niveaux. Les rôles et les responsabilités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l’industrie et du secteur privé tout au long de la chaîne de valeur dans la mise en œuvre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d’une gestion rationnelle des produits chimiques et des déchets constituent une base solide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pour une participation et une action accrues et devraient être clairement circonscrits et précisés.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L’industrie et le secteur privé devraient faire preuve de diligence raisonnable pour s’assurer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que les normes internationales en matière de santé et de sécurité dans la gestion des produits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et des déchets, y compris les normes de l’Organisation internationale du Travail,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sont mises en place tout au long de leurs chaînes de valeur pour protéger la santé humaine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dans le respect des droits humains.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parties prenantes sont invitées à présenter les actions qu’elles entendent mener pour mettre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œuvre le Cadre au moyen de plans de travail, feuilles de route, étapes, promesses ou autres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engagements appropriés, qui devraient définir clairement les rôles et responsabilités du secteur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et/ou de l’acteur concerné et du mécanisme de mise en œuvre prévu pour contribuer à la réalisation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objectifs et cibles, ainsi que les possibilités de collaboration ou d’actions conjointes.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45.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secteur de la santé a un rôle critique à jouer dans la gestion rationnelle des produits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et des déchets et dans la promotion de la santé et du bien-être, possédant des compétences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uniques pour ce faire. Les parties prenantes sont invitées à utiliser la feuille de route de l’Organisation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mondiale de la Santé pour les produits chimiques, selon qu’il convient, comme outil pour faciliter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collaboration intersectorielle et pour identifier les actions concrètes auxquelles le secteur de la santé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peut contribuer pour atteindre les objectifs stratégiques du Cadre.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gestion rationnelle des produits chimiques et des déchets dans le monde du travail est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essentielle pour protéger les travailleur(se)s, les communautés et l’environnement. Un milieu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travail sûr et sain est un principe fondamental et un droit dans le secteur du travail. Tou(te)s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travailleur(se)s doivent donc être protégé(e)s contre les produits chimiques et les déchets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dangereux tout au long de la chaîne d’approvisionnement. Les mesures et politiques sur le lieu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travail, y compris la ratification et le respect des normes pertinentes de l’Organisation internationale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 Travail, devraient être intégrées dans les efforts de gestion des produits chimiques et des déchets.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50" w:after="0"/>
        <w:ind w:left="3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VII.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Questions préoccupantes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52" w:after="0"/>
        <w:ind w:left="62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Définition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Une question préoccupante est une question concernant toute phase du cycle de vie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produits chimiques qui n’a pas encore retenu l’attention générale, qui n’est pas suffisamment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prise en compte ou qui pourrait devenir préoccupante au vu des informations scientifiques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actuellement disponibles, et qui pourrait avoir des effets néfastes sur la santé humaine et/ou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l’environnement, et justifie ainsi une action internationale.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50" w:after="0"/>
        <w:ind w:left="6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Proposition, sélection et adoption des questions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48.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Pour proposer une question, la partie prenante concernée doit soumettre les informations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indiquées dans la partie 1 de l’annexe I du Cadre. </w:t>
      </w:r>
    </w:p>
    <w:p>
      <w:pPr>
        <w:autoSpaceDN w:val="0"/>
        <w:tabs>
          <w:tab w:pos="1844" w:val="left"/>
        </w:tabs>
        <w:autoSpaceDE w:val="0"/>
        <w:widowControl/>
        <w:spacing w:line="232" w:lineRule="exact" w:before="116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Conformément à la partie II de l’annexe I, les propositions sont examinées par le secrétariat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distribuées à toutes les parties prenantes.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50.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propositions sont examinées par la Conférence internationale lors de ses sessions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ordinaires. </w:t>
      </w:r>
    </w:p>
    <w:p>
      <w:pPr>
        <w:autoSpaceDN w:val="0"/>
        <w:tabs>
          <w:tab w:pos="1844" w:val="left"/>
        </w:tabs>
        <w:autoSpaceDE w:val="0"/>
        <w:widowControl/>
        <w:spacing w:line="222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devrait :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18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Sélectionner et adopter les questions préoccupantes dans une résolution à cet effet.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 plusieurs questions sont proposées, elle peut, en examinant les propositions, choisir de donner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priorité aux questions qui sont les plus importantes pour la protection de la santé humaine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l’environnement et pour lesquelles les progrès les plus décisifs peuvent être réalisés à l’aide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 Cadre, en tenant compte du principe de précaution, selon qu’il convient ; </w:t>
      </w:r>
    </w:p>
    <w:p>
      <w:pPr>
        <w:autoSpaceDN w:val="0"/>
        <w:autoSpaceDE w:val="0"/>
        <w:widowControl/>
        <w:spacing w:line="200" w:lineRule="exact" w:before="3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10 </w:t>
      </w:r>
    </w:p>
    <w:p>
      <w:pPr>
        <w:sectPr>
          <w:pgSz w:w="11906" w:h="16838"/>
          <w:pgMar w:top="458" w:right="940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28" w:lineRule="exact" w:before="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Créer un groupe de travail multipartite spécial pour chaque question, à moins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qu’elle n’en décide autrement. Elle devrait encourager certains secteurs à s’engager, si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elle le juge opportun, et désigner éventuellement, parmi les organisations participant au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Programme interorganisations pour la gestion rationnelle des produits chimiques, les gouvernements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d’autres organisations compétentes, des organisations et/ou des parties prenantes susceptibles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diriger des travaux [voir l’annexe I, partie I, par. 1, alinéa i)]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0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Identifier si possible, pour chaque question adoptée, des activités ou des actions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précises, accompagnées d’échéances, qu’elle juge susceptibles de contribuer au succès des travaux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menés au titre du Cadre sur la question considérée, sur la base des informations communiquées,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recommander au groupe de travail multipartite spécial d’examiner ces activités ou actions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échéances correspondantes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0" w:after="0"/>
        <w:ind w:left="1248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Examiner attentivement, lors de l’établissement du projet de calendrier,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informations fournies dans les communications, en particulier dans toute proposition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plan de travail [voir l’annexe I, partie I, par. 1, alinéa h)]. </w:t>
      </w:r>
    </w:p>
    <w:p>
      <w:pPr>
        <w:autoSpaceDN w:val="0"/>
        <w:tabs>
          <w:tab w:pos="1844" w:val="left"/>
        </w:tabs>
        <w:autoSpaceDE w:val="0"/>
        <w:widowControl/>
        <w:spacing w:line="220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groupes de travail multipartites spéciaux devront :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0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a)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Élaborer, s’il n’est pas déjà disponible, un plan de travail pour mener à bien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actions que la Conférence internationale a approuvées dans les délais proposés. Ce plan de travail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doit comporter des objectifs et des indicateurs pour chaque question afin de permettre l’évaluation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résultats. Si les informations soumises sont accompagnées d’un plan de travail, les groupes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travail multipartites spéciaux peuvent l’affiner s’ils le jugent nécessaire ; 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1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Engager les parties prenantes concernées à mettre en œuvre le plan de travail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2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 coordonner, le cas échéant, avec d’autres organismes compétents afin d’optimiser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efforts déployés pour mener à bien les actions proposées dans les délais fixés et éviter les doubles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emplois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Rendre compte à la Conférence internationale, périodiquement, des progrès accomplis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regard des objectifs ou indicateurs figurant dans le plan de travail, le cas échéant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2" w:lineRule="exact" w:before="116" w:after="0"/>
        <w:ind w:left="124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Formuler, s’il y a lieu, des recommandations à l’intention de la Conférence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internationale.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48" w:after="0"/>
        <w:ind w:left="62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Mécanismes de mise en œuvre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2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plans de travail destinés à guider les suites à donner aux questions préoccupantes sont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abordés dans la partie III de l’annexe I.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groupes de travail multipartites spéciaux devraient, avec l’aide du secrétariat, superviser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suivi et les rapports des acteurs concernés en les encourageant à mettre en œuvre le plan de travail,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moyen de rapports périodiques sur les progrès accomplis qui seraient soumis à la Conférence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internationale dans le cadre de ses sessions, et d’examens périodiques entre les sessions, comme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indiqué dans le plan de travail ou sur demande de la Conférence internationale.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55.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peut décider de la nécessité de poursuivre les travaux sur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une question préoccupante en se fondant sur une explication complète des raisons invoquées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des recommandations sur la voie à suivre, y compris les options proposées pour atteindre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objectifs fixés pour cette question, fournies par le groupe de travail multipartite spécial,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avec l’aide du secrétariat, à la suite de l’évaluation de l’état d’avancement des activités menées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conformément au plan de travail pour la question considérée.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peut décider de mettre fin aux travaux sur une question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particulière. </w:t>
      </w:r>
    </w:p>
    <w:p>
      <w:pPr>
        <w:autoSpaceDN w:val="0"/>
        <w:tabs>
          <w:tab w:pos="1248" w:val="left"/>
        </w:tabs>
        <w:autoSpaceDE w:val="0"/>
        <w:widowControl/>
        <w:spacing w:line="233" w:lineRule="auto" w:before="25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VIII.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Renforcement des capacités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Il est impératif de mobiliser davantage de ressources, conformément à l’approche intégrée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financement, pour renforcer les capacités, y compris la coopération scientifique et technique,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pour soutenir les transferts de technologies, selon des modalités arrêtées d’un commun accord,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ces deux aspects étant essentiels pour assurer le succès de la mise en œuvre du Cadre, la concrétisation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sa vision, et la réalisation de ses objectifs stratégiques et de ses cibles. Toutes les parties prenantes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devraient disposer des compétences, des connaissances et des ressources nécessaires à la mise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œuvre du Cadre. </w:t>
      </w:r>
    </w:p>
    <w:p>
      <w:pPr>
        <w:autoSpaceDN w:val="0"/>
        <w:autoSpaceDE w:val="0"/>
        <w:widowControl/>
        <w:spacing w:line="200" w:lineRule="exact" w:before="17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11 </w:t>
      </w:r>
    </w:p>
    <w:p>
      <w:pPr>
        <w:sectPr>
          <w:pgSz w:w="11906" w:h="16838"/>
          <w:pgMar w:top="458" w:right="924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tabs>
          <w:tab w:pos="1844" w:val="left"/>
        </w:tabs>
        <w:autoSpaceDE w:val="0"/>
        <w:widowControl/>
        <w:spacing w:line="228" w:lineRule="exact" w:before="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58.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parties prenantes coopèrent pour apporter, dans la mesure de leurs capacités respectives, un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soutien adéquat en temps opportun dans le cadre de ces activités. Un appui peut être fourni par le biais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d’arrangements aux niveaux régional, sous-régional et national, de programmes de mise en œuvre,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d’autres moyens multilatéraux et bilatéraux, notamment des alliances, des partenariats, des examens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volontaires par les pairs et d’autres approches novatrices, en particulier en collaboration avec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secteur privé.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Dans la mesure du possible, les parties prenantes alignent leurs activités sur celles menées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 d’autres accords multilatéraux relatifs à l’environnement, des banques multilatérales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développement et d’autres institutions pour accroître l’efficacité de la coopération, notamment dans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cadre de l’action menée pour faire face aux changements climatiques, à la perte de biodiversité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à la pollution, ainsi qu’aux défis auxquels sont confrontés les secteurs de la santé, du travail,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de l’agriculture, et aux menaces pesant sur les droits humains.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60.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élaborera une stratégie destinée à renforcer les capacités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à soutenir les transferts de technologies à des conditions arrêtées d’un commun accord, en prenant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considération les bénéfices que les entreprises en tireront et l’accroissement de la production à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l’échelle mondiale. Cette stratégie comprendra des outils de renforcement des capacités et d’autres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initiatives. </w:t>
      </w:r>
    </w:p>
    <w:p>
      <w:pPr>
        <w:autoSpaceDN w:val="0"/>
        <w:tabs>
          <w:tab w:pos="1844" w:val="left"/>
        </w:tabs>
        <w:autoSpaceDE w:val="0"/>
        <w:widowControl/>
        <w:spacing w:line="222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 la suite, la Conférence internationale mènera à intervalles réguliers les activités suivantes : 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1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a)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Évaluer l’impact de la stratégie et améliorer son efficacité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18" w:after="0"/>
        <w:ind w:left="124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Examiner les besoins de toutes les parties prenantes en matière de renforcement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capacités et formuler toute recommandation nécessaire à ce sujet. </w:t>
      </w:r>
    </w:p>
    <w:p>
      <w:pPr>
        <w:autoSpaceDN w:val="0"/>
        <w:tabs>
          <w:tab w:pos="1248" w:val="left"/>
        </w:tabs>
        <w:autoSpaceDE w:val="0"/>
        <w:widowControl/>
        <w:spacing w:line="233" w:lineRule="auto" w:before="252" w:after="0"/>
        <w:ind w:left="4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IX.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Considérations financières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financement adéquat, prévisible et durable, l’assistance technique, le renforcement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capacités et le transfert de technologies selon des modalités convenues d’un commun accord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sont indispensables à la réalisation des objectifs et cibles du Cadre. La participation de représentant(e)s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toutes les parties prenantes et de tous les secteurs concernés aux niveaux national, régional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 devrait être assurée dans le cadre de l’approche intégrée du financement de la gestion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rationnelle des produits chimiques et des déchets.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48" w:after="0"/>
        <w:ind w:left="62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Approche intégrée du financement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2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trois volets de l’approche intégrée du financement, à savoir l’intégration, la participation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 secteur privé et le financement extérieur ciblé, sont tous d’égale importance et se renforcent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mutuellement.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parties prenantes devraient prendre des mesures pour appliquer l’approche intégrée du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financement de la gestion rationnelle des produits chimiques et des déchets, notamment en œuvrant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à la réalisation de progrès tangibles dans la mise en œuvre de ses trois volets. </w:t>
      </w:r>
    </w:p>
    <w:p>
      <w:pPr>
        <w:autoSpaceDN w:val="0"/>
        <w:tabs>
          <w:tab w:pos="1248" w:val="left"/>
        </w:tabs>
        <w:autoSpaceDE w:val="0"/>
        <w:widowControl/>
        <w:spacing w:line="233" w:lineRule="auto" w:before="250" w:after="0"/>
        <w:ind w:left="70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1.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Intégration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65.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L’intégration est essentielle pour garantir la satisfaction des besoins au niveau national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mobilisation du soutien par l’intermédiaire des budgets nationaux, des plans d’aide bilatérale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développement et des processus-cadres d’aide multilatérale.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institutions financières internationales, régionales et nationales et leurs organes directeurs,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ainsi que le secteur privé et les investisseurs, sont expressément encouragés à incorporer les activités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gestion rationnelle des produits chimiques et des déchets parmi celles qu’ils financent.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50" w:after="0"/>
        <w:ind w:left="70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Participation du secteur privé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secteur privé, tout au long de la chaîne de valeur, devrait redoubler d’efforts pour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internaliser les coûts et augmenter ses contributions financières et non financières allouées à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mise en œuvre d’une gestion rationnelle des produits chimiques et des déchets afin de prévenir,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ou, lorsque cela n’est pas possible, de réduire les risques posés par les produits chimiques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déchets et d’atténuer leurs effets néfastes sur l’environnement et la santé humaine.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68.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secteur privé devrait soutenir les objectifs et cibles du Cadre en matière de gestion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rationnelle des produits chimiques et des déchets en apportant sa contribution, notamment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 l’application du Système général harmonisé de classification et d’étiquetage des produits </w:t>
      </w:r>
    </w:p>
    <w:p>
      <w:pPr>
        <w:autoSpaceDN w:val="0"/>
        <w:autoSpaceDE w:val="0"/>
        <w:widowControl/>
        <w:spacing w:line="200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12 </w:t>
      </w:r>
    </w:p>
    <w:p>
      <w:pPr>
        <w:sectPr>
          <w:pgSz w:w="11906" w:h="16838"/>
          <w:pgMar w:top="458" w:right="928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28" w:lineRule="exact" w:before="0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(SGH) à l’échelle mondiale, la production et le partage de données, les partenariats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le renforcement des capacités. Le secteur privé devrait continuer à faire progresser la gestion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rationnelle des produits chimiques et des déchets en s’engageant en faveur de l’innovation,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la formation, des initiatives en matière de sécurité et de durabilité, ainsi que du respect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exigences réglementaires en matière de produits chimiques et de déchets, y compris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éléments pertinents de la sécurité et de la santé au travail dans les juridictions du monde entier.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50" w:after="0"/>
        <w:ind w:left="68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3.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Financement extérieur ciblé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parties prenantes devraient renforcer le volet « financement extérieur ciblé », en s’attachant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notamment à mobiliser des financements privés, à promouvoir des solutions de financement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innovantes et mixtes, à réfléchir aux stratégies à mettre en place pour augmenter les ressources et à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inciter le secteur privé à investir dans la gestion rationnelle des produits chimiques et des déchets.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70.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parties prenantes décident de créer un Fonds pour le Cadre mondial relatif aux produits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chimiques, conçu pour les aider à mettre en œuvre ledit Cadre. Le Fonds contiendra un fonds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d’affectation spéciale de durée limitée alimenté par des contributions volontaires, et pourra faire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appel à des sources multilatérales, bilatérales et privées. Il sera administré par le Programme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Nations Unies pour l’environnement.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gouvernements et autres parties prenantes sont invités à fournir des ressources afin que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secrétariat du Cadre mondial relatif aux produits chimiques puisse s’acquitter des tâches énoncées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paragraphe 70 ci-dessus, notamment :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18" w:after="0"/>
        <w:ind w:left="122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invitant le Programme des Nations Unies pour l’environnement à prendre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dispositions nécessaires pour le transfert des ressources financières encore disponibles dans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fonds d’affectation spéciale du Programme de démarrage rapide afin de lancer le Fonds pour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Cadre mondial relatif aux produits chimiques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invitant tous les pays et les organisations régionales d’intégration économique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à verser des contributions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18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invitant le secteur privé, dont les entreprises, les fondations et autres organisations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non gouvernementales, à apporter également leur contribution. </w:t>
      </w:r>
    </w:p>
    <w:p>
      <w:pPr>
        <w:autoSpaceDN w:val="0"/>
        <w:tabs>
          <w:tab w:pos="1226" w:val="left"/>
        </w:tabs>
        <w:autoSpaceDE w:val="0"/>
        <w:widowControl/>
        <w:spacing w:line="245" w:lineRule="auto" w:before="250" w:after="0"/>
        <w:ind w:left="610" w:right="20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Mise en place de partenariats multisectoriels et participation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à ces partenariats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parties prenantes sont encouragées à créer et à mettre en œuvre des partenariats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multisectoriels transparents et responsables. Elles sont également encouragées à explorer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possibilités de financement en faisant appel aux mécanismes dans tous les secteurs.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52" w:after="0"/>
        <w:ind w:left="5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X.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Dispositions institutionnelles </w:t>
      </w:r>
    </w:p>
    <w:p>
      <w:pPr>
        <w:autoSpaceDN w:val="0"/>
        <w:tabs>
          <w:tab w:pos="1226" w:val="left"/>
        </w:tabs>
        <w:autoSpaceDE w:val="0"/>
        <w:widowControl/>
        <w:spacing w:line="245" w:lineRule="auto" w:before="250" w:after="0"/>
        <w:ind w:left="598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Conférence mondiale sur le Cadre mondial relatif aux produits chimiques –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Pour une planète sans produits chimiques ni déchets nocifs </w:t>
      </w:r>
    </w:p>
    <w:p>
      <w:pPr>
        <w:autoSpaceDN w:val="0"/>
        <w:tabs>
          <w:tab w:pos="1822" w:val="left"/>
        </w:tabs>
        <w:autoSpaceDE w:val="0"/>
        <w:widowControl/>
        <w:spacing w:line="220" w:lineRule="exact" w:before="13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Pour examiner le Cadre et sa mise en œuvre, la Conférence internationale devra : </w:t>
      </w:r>
    </w:p>
    <w:p>
      <w:pPr>
        <w:autoSpaceDN w:val="0"/>
        <w:tabs>
          <w:tab w:pos="2476" w:val="left"/>
        </w:tabs>
        <w:autoSpaceDE w:val="0"/>
        <w:widowControl/>
        <w:spacing w:line="220" w:lineRule="exact" w:before="130" w:after="0"/>
        <w:ind w:left="1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Adopter son règlement intérieur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2" w:lineRule="exact" w:before="116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Superviser la mise en œuvre et examiner les progrès accomplis en vue de combler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lacunes aux niveaux national, régional et international et d’adopter les mesures qui s’imposent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Promouvoir la mise en œuvre des instruments et programmes internationaux relatifs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aux produits chimiques et aux déchets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2" w:after="0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Promouvoir la coopération et la coordination entre les instruments et programmes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internationaux relatifs aux produits chimiques et aux déchets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18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Promouvoir le renforcement des capacités nationales de gestion des produits chimiques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des déchets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Promouvoir, renforcer et appuyer la participation des parties prenantes et des secteurs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aux travaux de la Conférence internationale et au programme de travail, ainsi que leur interaction ; </w:t>
      </w:r>
    </w:p>
    <w:p>
      <w:pPr>
        <w:autoSpaceDN w:val="0"/>
        <w:autoSpaceDE w:val="0"/>
        <w:widowControl/>
        <w:spacing w:line="200" w:lineRule="exact" w:before="586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13 </w:t>
      </w:r>
    </w:p>
    <w:p>
      <w:pPr>
        <w:sectPr>
          <w:pgSz w:w="11906" w:h="16838"/>
          <w:pgMar w:top="458" w:right="918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28" w:lineRule="exact" w:before="0" w:after="0"/>
        <w:ind w:left="124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Améliorer les connaissances, notamment à l’aide de données scientifiques,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 les tendances et éléments nouveaux, et identifier et faire connaître leurs liens avec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développement durable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2" w:lineRule="exact" w:before="116" w:after="0"/>
        <w:ind w:left="124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h)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Établir les priorités du programme de travail en s’appuyant sur des informations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scientifiques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0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Examiner les résultats des travaux du groupe d’experts sur l’interface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science-politiques au service de la gestion rationnelle des produits chimiques et des déchets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la prévention de la pollution qui sera institué par l’Assemblée des Nations Unies pour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l’environnement en application de sa résolution 5/8 et inviter le groupe d’experts à lui fournir,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selon qu’il convient, des informations et des évaluations scientifiques, ainsi que des contributions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 des questions préoccupantes qu’elle aura adoptées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0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Définir les processus permettant d’orienter l’action fondée sur la science pertinente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 les questions préoccupantes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18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Fournir des orientations au secrétariat et aux parties prenantes concernant la mise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œuvre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2" w:lineRule="exact" w:before="118" w:after="0"/>
        <w:ind w:left="1248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Créer les organes subsidiaires qu’elle juge nécessaires, conformément à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son règlement intérieur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0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Promouvoir la mise en œuvre des éléments de l’approche intégrée du financement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la gestion rationnelle des produits chimiques et des déchets et formuler des recommandations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aux fins de l’examen des questions pertinentes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18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Recueillir des rapports de toutes les parties prenantes concernant la mise en œuvre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 Cadre afin d’évaluer, à partir des informations reçues, l’état d’avancement global de la mise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œuvre, et diffuser l’information en tant que de besoin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0" w:after="0"/>
        <w:ind w:left="124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o)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Évaluer l’exécution des activités, examiner les progrès accomplis par rapport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aux objectifs et aux cibles fixés et mettre à jour le programme de travail, le cas échéant,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vue de concrétiser la vision poursuivie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2" w:lineRule="exact" w:before="116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Décider de convoquer, selon qu’il convient, un débat de haut niveau pour des échanges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multisectoriels et multipartites ; 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1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Lancer le processus de mise à jour ou de révision du Cadre, selon qu’il convient.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devrait inviter les acteurs des secteurs de l’environnement,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la santé, du travail et de l’agriculture impliqués dans la gestion des produits chimiques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les questions de sécurité à participer à ses sessions.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75.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devrait établir son ordre du jour en prévoyant un espace suffisant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pour permettre des discussions constructives sur les priorités, les lacunes et les problèmes de mise 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œuvre rencontrés par les différents secteurs.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se réunira tous les trois ans, à moins qu’elle n’en décide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autrement. </w:t>
      </w:r>
    </w:p>
    <w:p>
      <w:pPr>
        <w:autoSpaceDN w:val="0"/>
        <w:tabs>
          <w:tab w:pos="1844" w:val="left"/>
        </w:tabs>
        <w:autoSpaceDE w:val="0"/>
        <w:widowControl/>
        <w:spacing w:line="232" w:lineRule="exact" w:before="116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Lorsque c’est opportun, les sessions de la Conférence devraient se tenir immédiatement avant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 après les réunions des organes directeurs des organisations intergouvernementales concernées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afin de renforcer les synergies et d’améliorer le rapport coût-efficacité.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50" w:after="0"/>
        <w:ind w:left="63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Bureau de la Conférence internationale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78.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devrait disposer d’un Bureau conformément à son règlement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intérieur. Le Bureau devrait refléter la nature multipartite et multisectorielle du Cadre et tenir dûment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compte des principes de représentation géographique équitable et de parité, ainsi que de représentation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différents secteurs parmi les représentant(e)s des gouvernements, sous réserve des articles du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règlement intérieur applicables en la matière. </w:t>
      </w:r>
    </w:p>
    <w:p>
      <w:pPr>
        <w:autoSpaceDN w:val="0"/>
        <w:autoSpaceDE w:val="0"/>
        <w:widowControl/>
        <w:spacing w:line="200" w:lineRule="exact" w:before="16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14 </w:t>
      </w:r>
    </w:p>
    <w:p>
      <w:pPr>
        <w:sectPr>
          <w:pgSz w:w="11906" w:h="16838"/>
          <w:pgMar w:top="458" w:right="954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tabs>
          <w:tab w:pos="1226" w:val="left"/>
        </w:tabs>
        <w:autoSpaceDE w:val="0"/>
        <w:widowControl/>
        <w:spacing w:line="230" w:lineRule="auto" w:before="0" w:after="0"/>
        <w:ind w:left="5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Secrétariat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secrétariat devra, sous la direction de la Conférence internationale, s’acquitter des tâches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suivantes :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18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Promouvoir l’instauration et le maintien d’un réseau de parties prenantes aux niveaux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national, régional et international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2" w:after="0"/>
        <w:ind w:left="122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Promouvoir et faciliter la mise en œuvre du Cadre, y compris le renforcement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capacités et l’assistance technique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Continuer à renforcer les relations de travail avec les organisations participant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Programme interorganisations pour la gestion des produits chimiques et leurs réseaux, d’autres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organismes des Nations Unies et les secrétariats des accords internationaux pertinents, afin de tirer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parti de leurs compétences sectorielles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2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Faciliter et promouvoir l’échange d’informations scientifiques et techniques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pertinentes, notamment l’élaboration et la diffusion de documents d’orientation pour aider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parties prenantes à mettre en œuvre le Cadre, et offrir un service central d’échange d’informations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18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Faciliter les réunions et les travaux intersessions de la Conférence internationale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ainsi que les réunions régionales, et diffuser les rapports et recommandations de la Conférence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internationale, y compris auprès des organisations et institutions mondiales et régionales pertinentes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Assurer le fonctionnement des organes subsidiaires chargés des questions techniques,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politiques et des questions scientifiques et des groupes d’experts spéciaux créés par la Conférence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internationale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18" w:after="0"/>
        <w:ind w:left="122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Promouvoir, renforcer et soutenir la participation de tous les secteurs et parties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prenantes à la Conférence internationale et au programme de travail, y compris aux sessions 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et aux réunions régionales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Rendre compte à la Conférence internationale de la mise en œuvre du Cadre par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toutes les parties prenantes.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50" w:after="0"/>
        <w:ind w:left="68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1.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Financement du secrétariat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18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80.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 budget de base pour le secrétariat du Cadre est établi pour couvrir les dépenses liées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personnel non détaché, les frais de bureau et les frais de voyage, ainsi que les dépenses afférentes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aux services de conférence et aux réunions. Ce budget est financé au moyen de contributions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volontaires versées par les gouvernements, le secteur privé et toutes les autres parties prenantes.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Avant le début de chaque année civile, le secrétariat invite chaque gouvernement et les autres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groupes de parties prenantes, par l’intermédiaire de leur correspondant(e), à verser une contribution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financière volontaire.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Toutes les parties prenantes soutiennent les travaux du secrétariat en versant des contributions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volontaires financières et en nature, selon qu’il convient, incluant sans s’y limiter : </w:t>
      </w:r>
    </w:p>
    <w:p>
      <w:pPr>
        <w:autoSpaceDN w:val="0"/>
        <w:tabs>
          <w:tab w:pos="2476" w:val="left"/>
        </w:tabs>
        <w:autoSpaceDE w:val="0"/>
        <w:widowControl/>
        <w:spacing w:line="220" w:lineRule="exact" w:before="130" w:after="0"/>
        <w:ind w:left="1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contributions financières volontaires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ressources en nature, telles que le détachement de personnel, au besoin,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des services d’appui aux travaux menés par le secrétariat dans le secteur qui les concerne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2" w:lineRule="exact" w:before="116" w:after="0"/>
        <w:ind w:left="122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L’organisation de réunions, la participation sectorielle aux réunions et l’appui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à la production et à la diffusion des résultats du Cadre.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0" w:after="0"/>
        <w:ind w:left="122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Dans la mesure du possible, les contributions sont définies au début du cycle budgétaire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vertu d’un accord entre l’organisation concernée et le secrétariat. </w:t>
      </w:r>
    </w:p>
    <w:p>
      <w:pPr>
        <w:autoSpaceDN w:val="0"/>
        <w:tabs>
          <w:tab w:pos="1226" w:val="left"/>
        </w:tabs>
        <w:autoSpaceDE w:val="0"/>
        <w:widowControl/>
        <w:spacing w:line="233" w:lineRule="auto" w:before="252" w:after="0"/>
        <w:ind w:left="45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XI.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Bilan des progrès accomplis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18" w:after="0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Toutes les parties prenantes sont invitées à faire rapport à la Conférence internationale,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 l’intermédiaire du secrétariat, sur leurs activités de mise en œuvre du Cadre et sur les progrès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qu’elles ont accomplis au regard des indicateurs et jalons fixés, ainsi que sur les contributions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qu’elles ont apportées à la mise en œuvre du Cadre en vue d’atteindre les objectifs stratégiques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cibles arrêtées et de concrétiser la vision énoncée. Ce faisant, les parties prenantes peuvent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identifier les résultats positifs, ainsi que les lacunes ou les difficultés ; déterminer les possibilités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d’expansion et d’amélioration ; partager des informations ; évaluer la nécessité d’intensifier </w:t>
      </w:r>
    </w:p>
    <w:p>
      <w:pPr>
        <w:autoSpaceDN w:val="0"/>
        <w:autoSpaceDE w:val="0"/>
        <w:widowControl/>
        <w:spacing w:line="200" w:lineRule="exact" w:before="15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15 </w:t>
      </w:r>
    </w:p>
    <w:p>
      <w:pPr>
        <w:sectPr>
          <w:pgSz w:w="11906" w:h="16838"/>
          <w:pgMar w:top="458" w:right="924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124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efforts de mise en œuvre ; et, si nécessaire, hiérarchiser davantage leur participation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leurs activités. </w:t>
      </w:r>
    </w:p>
    <w:p>
      <w:pPr>
        <w:autoSpaceDN w:val="0"/>
        <w:tabs>
          <w:tab w:pos="1844" w:val="left"/>
        </w:tabs>
        <w:autoSpaceDE w:val="0"/>
        <w:widowControl/>
        <w:spacing w:line="232" w:lineRule="exact" w:before="116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85.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rapports devraient être établis de façon régulière et suffisamment fréquente, conformément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à ce qui aura été décidé par la Conférence internationale, pour permettre une bonne évaluation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progrès réalisés dans la concrétisation de la vision du Cadre.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Toutes les parties prenantes sont invitées à fournir des informations relatives à leurs activités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mise en œuvre. Ces informations devraient être communiquées à l’aide d’un outil en ligne structuré,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transparent et accessible, conformément aux orientations ou modèles établis par la Conférence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internationale. Elles peuvent également comprendre des déclarations relatives aux engagements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volontaires, aux promesses d’engagement et/ou à des activités analogues.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2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secrétariat devrait établir une compilation des rapports reçus en vue de les présenter à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et au public sous une forme conviviale permettant de visualiser plus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facilement les progrès accomplis au titre du Cadre.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88.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peut solliciter le partage des données et des informations issues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rapports complémentaires établis dans le cadre d’autres accords et initiatives, du Programme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interorganisations pour la gestion rationnelle des produits chimiques et d’autres organisations,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afin de pouvoir tenir compte, le cas échéant, des liens avec ces accords, initiatives et organisations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d’alléger au maximum la charge que représente la communication d’informations pour l’ensemble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parties prenantes, tout en évitant les chevauchements d’activité.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organisations compétentes peuvent être invitées par la Conférence internationale à analyser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progrès accomplis au regard des cibles et objectifs stratégiques au moyen des indicateurs d’impact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 Cadre et à lui faire rapport. Le secrétariat peut inviter les parties prenantes à fournir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informations supplémentaires et à rassembler et transmettre les informations pertinentes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aux organisations compétentes pour évaluation. Les parties prenantes sont encouragées à fournir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informations supplémentaires au secrétariat lorsqu’elles y sont invitées.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90.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L’efficacité globale du Cadre devrait faire l’objet d’une évaluation indépendante selon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modalités qui seront convenues par la Conférence internationale. Il sera procédé à cette évaluation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d’ensemble sur décision de la Conférence internationale.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structure de mesurabilité figurant à l’annexe III du Cadre présente les différentes catégories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d’indicateurs qui pourront être utilisées pour suivre les progrès réalisés au titre du Cadre et mesurer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son impact, notamment :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18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indicateurs de haut niveau permettant de mesurer les progrès accomplis dans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réalisation de la vision du Cadre, eu égard aux effets des produits chimiques et des déchets sur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santé humaine et l’environnement : </w:t>
      </w:r>
    </w:p>
    <w:p>
      <w:pPr>
        <w:autoSpaceDN w:val="0"/>
        <w:tabs>
          <w:tab w:pos="3122" w:val="left"/>
        </w:tabs>
        <w:autoSpaceDE w:val="0"/>
        <w:widowControl/>
        <w:spacing w:line="230" w:lineRule="exact" w:before="120" w:after="0"/>
        <w:ind w:left="249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charge mondiale de morbidité imputable aux produits chimiques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aux déchets ; </w:t>
      </w:r>
    </w:p>
    <w:p>
      <w:pPr>
        <w:autoSpaceDN w:val="0"/>
        <w:tabs>
          <w:tab w:pos="3122" w:val="left"/>
        </w:tabs>
        <w:autoSpaceDE w:val="0"/>
        <w:widowControl/>
        <w:spacing w:line="230" w:lineRule="exact" w:before="118" w:after="0"/>
        <w:ind w:left="24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charge environnementale mondiale imputable aux produits chimiques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aux déchets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indicateurs phares qui, une fois définis, permettront de mesurer l’impact au regard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objectifs stratégiques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indicateurs de processus permettant d’évaluer les actions menées et des indicateurs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d’impact permettant de mesurer les résultats obtenus par rapport aux cible fixées. </w:t>
      </w:r>
    </w:p>
    <w:p>
      <w:pPr>
        <w:autoSpaceDN w:val="0"/>
        <w:tabs>
          <w:tab w:pos="1248" w:val="left"/>
        </w:tabs>
        <w:autoSpaceDE w:val="0"/>
        <w:widowControl/>
        <w:spacing w:line="230" w:lineRule="auto" w:before="252" w:after="0"/>
        <w:ind w:left="36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XII.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Révision et mise à jour du Cadre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Conférence internationale peut envisager d’engager un processus de mise à jour ou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révision du Cadre après avoir pris en compte l’évaluation des informations et des données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demandées à toutes les parties prenantes dans la section XI, intitulée « Bilan des progrès accomplis »,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les résultats des évaluations périodiques demandées aux fins de l’examen de l’efficacité globale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 Cadre.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mises à jour ou révisions peuvent être proposées par tout gouvernement et nécessiteront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d’être formellement adoptées par la Conférence internationale. Le texte de toute proposition de mise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à jour ou de révision est communiqué par le secrétariat à toutes les parties prenantes et à tou(te)s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correspondant(e)s au moins six mois avant la session de la Conférence internationale. </w:t>
      </w:r>
    </w:p>
    <w:p>
      <w:pPr>
        <w:autoSpaceDN w:val="0"/>
        <w:autoSpaceDE w:val="0"/>
        <w:widowControl/>
        <w:spacing w:line="200" w:lineRule="exact" w:before="3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16 </w:t>
      </w:r>
    </w:p>
    <w:p>
      <w:pPr>
        <w:sectPr>
          <w:pgSz w:w="11906" w:h="16838"/>
          <w:pgMar w:top="458" w:right="922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Annexe I </w:t>
      </w:r>
    </w:p>
    <w:p>
      <w:pPr>
        <w:autoSpaceDN w:val="0"/>
        <w:autoSpaceDE w:val="0"/>
        <w:widowControl/>
        <w:spacing w:line="233" w:lineRule="auto" w:before="370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Questions préoccupantes </w:t>
      </w:r>
    </w:p>
    <w:p>
      <w:pPr>
        <w:autoSpaceDN w:val="0"/>
        <w:tabs>
          <w:tab w:pos="1226" w:val="left"/>
        </w:tabs>
        <w:autoSpaceDE w:val="0"/>
        <w:widowControl/>
        <w:spacing w:line="233" w:lineRule="auto" w:before="250" w:after="0"/>
        <w:ind w:left="65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I.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Communication d’informations </w:t>
      </w:r>
    </w:p>
    <w:p>
      <w:pPr>
        <w:autoSpaceDN w:val="0"/>
        <w:tabs>
          <w:tab w:pos="1822" w:val="left"/>
        </w:tabs>
        <w:autoSpaceDE w:val="0"/>
        <w:widowControl/>
        <w:spacing w:line="220" w:lineRule="exact" w:before="128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Pour proposer une question, il convient de fournir les informations suivantes : </w:t>
      </w:r>
    </w:p>
    <w:p>
      <w:pPr>
        <w:autoSpaceDN w:val="0"/>
        <w:tabs>
          <w:tab w:pos="2476" w:val="left"/>
        </w:tabs>
        <w:autoSpaceDE w:val="0"/>
        <w:widowControl/>
        <w:spacing w:line="222" w:lineRule="exact" w:before="130" w:after="0"/>
        <w:ind w:left="1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raison pour laquelle le Cadre est le mieux à même de faire avancer la question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incidences sur la santé humaine et/ou l’environnement liées à la question proposée,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tenant compte des populations vulnérables et à risque (en particulier les femmes, les enfants,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jeunes et les travailleur(se)s), de la biodiversité, des écosystèmes et des données toxicologiques,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écotoxicologiques, sur le devenir et le comportement dans l’environnement et sur l’exposition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18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mesure dans laquelle la question s’intègre dans la vision du Cadre, le déroulement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travaux actuellement menés et la manière dont elle doit être abordée pour améliorer les systèmes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fondamentaux de gestion des produits chimiques et des déchets et/ou faire progresser la mise en œuvre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solutions innovantes et durables, en tenant compte notamment des situations propres à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chaque pays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2" w:lineRule="exact" w:before="116" w:after="0"/>
        <w:ind w:left="1226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manière dont la résolution de cette question peut aider les pays à réaliser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objectifs de développement durable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mesure dans laquelle la question est de nature transversale, y compris au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niveau sectoriel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mesure dans laquelle la question est traitée par d’autres organismes, aux niveaux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régional ou international, et l’articulation entre ces efforts et les mesures proposées pour traiter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question, et la mesure dans laquelle elles les complètent ou ne font pas double emploi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2" w:after="0"/>
        <w:ind w:left="122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 résumé des connaissances existantes, des activités antérieures pertinentes,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incertitudes scientifiques et des lacunes en matière de compréhension et/ou d’action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 plan de travail assortis d’objectifs, d’indicateurs et de calendriers d’exécution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envisageables pour les suites à donner à la question proposée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18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Une liste indiquant la ou les organisations dirigeantes potentielles et les possibilités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collaboration multipartite et multisectorielle. </w:t>
      </w:r>
    </w:p>
    <w:p>
      <w:pPr>
        <w:autoSpaceDN w:val="0"/>
        <w:tabs>
          <w:tab w:pos="1226" w:val="left"/>
        </w:tabs>
        <w:autoSpaceDE w:val="0"/>
        <w:widowControl/>
        <w:spacing w:line="233" w:lineRule="auto" w:before="252" w:after="0"/>
        <w:ind w:left="54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II.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Propositions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48" w:after="0"/>
        <w:ind w:left="59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Propositions de questions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procédure de proposition est ouverte à toutes les parties prenantes. Elle sera accessible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 le site Web du Cadre. </w:t>
      </w:r>
    </w:p>
    <w:p>
      <w:pPr>
        <w:autoSpaceDN w:val="0"/>
        <w:tabs>
          <w:tab w:pos="1822" w:val="left"/>
        </w:tabs>
        <w:autoSpaceDE w:val="0"/>
        <w:widowControl/>
        <w:spacing w:line="220" w:lineRule="exact" w:before="13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Pour faciliter la communication au sujet des propositions :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propositions devraient être soumises au secrétariat au plus tard six mois avant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une session de la Conférence internationale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2" w:lineRule="exact" w:before="116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propositions devraient être communiquées par le secrétariat à toutes les parties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prenantes, y compris à l’ensemble des correspondant(e)s ; </w:t>
      </w:r>
    </w:p>
    <w:p>
      <w:pPr>
        <w:autoSpaceDN w:val="0"/>
        <w:tabs>
          <w:tab w:pos="1852" w:val="left"/>
          <w:tab w:pos="2476" w:val="left"/>
        </w:tabs>
        <w:autoSpaceDE w:val="0"/>
        <w:widowControl/>
        <w:spacing w:line="230" w:lineRule="exact" w:before="120" w:after="0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régions pourront, si elles le souhaitent, inscrire la question proposée à l’ordre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 jour des réunions régionales concernées. </w:t>
      </w:r>
    </w:p>
    <w:p>
      <w:pPr>
        <w:autoSpaceDN w:val="0"/>
        <w:tabs>
          <w:tab w:pos="1226" w:val="left"/>
        </w:tabs>
        <w:autoSpaceDE w:val="0"/>
        <w:widowControl/>
        <w:spacing w:line="230" w:lineRule="auto" w:before="250" w:after="0"/>
        <w:ind w:left="6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Examen initial et publication des propositions </w:t>
      </w:r>
    </w:p>
    <w:p>
      <w:pPr>
        <w:autoSpaceDN w:val="0"/>
        <w:tabs>
          <w:tab w:pos="1822" w:val="left"/>
        </w:tabs>
        <w:autoSpaceDE w:val="0"/>
        <w:widowControl/>
        <w:spacing w:line="230" w:lineRule="exact" w:before="122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secrétariat vérifie que les propositions sont complètes afin d’aider, si possible, les auteur(e)s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dans leurs démarches. Les auteur(e)s doivent pouvoir être contacté(e)s pour fournir des informations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manquantes ou complémentaires. Le secrétariat établit une liste des propositions, annotée d’un résumé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informations contenues dans les communications soumises. Les propositions similaires sont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regroupées de manière que des questions analogues puissent être examinées ensemble, le cas échéant. </w:t>
      </w:r>
    </w:p>
    <w:p>
      <w:pPr>
        <w:autoSpaceDN w:val="0"/>
        <w:autoSpaceDE w:val="0"/>
        <w:widowControl/>
        <w:spacing w:line="200" w:lineRule="exact" w:before="49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17 </w:t>
      </w:r>
    </w:p>
    <w:p>
      <w:pPr>
        <w:sectPr>
          <w:pgSz w:w="11906" w:h="16838"/>
          <w:pgMar w:top="458" w:right="924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tabs>
          <w:tab w:pos="1844" w:val="left"/>
        </w:tabs>
        <w:autoSpaceDE w:val="0"/>
        <w:widowControl/>
        <w:spacing w:line="226" w:lineRule="exact" w:before="0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secrétariat invite toutes les parties prenantes à faire parvenir leurs observations avant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session de la Conférence internationale au cours de laquelle les propositions seront examinées. </w:t>
      </w:r>
    </w:p>
    <w:p>
      <w:pPr>
        <w:autoSpaceDN w:val="0"/>
        <w:autoSpaceDE w:val="0"/>
        <w:widowControl/>
        <w:spacing w:line="228" w:lineRule="exact" w:before="0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observations reçues des parties prenantes au sujet des propositions sont rendues publiques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 le secrétariat.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auteur(e)s d’une proposition auront la possibilité de réviser leur proposition pour tenir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compte des observations faites ou pour clarifier les informations fournies, et de travailler avec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d’autres auteur(e)s pour consolider les propositions qui peuvent être similaires ou complémentaires. </w:t>
      </w:r>
    </w:p>
    <w:p>
      <w:pPr>
        <w:autoSpaceDN w:val="0"/>
        <w:tabs>
          <w:tab w:pos="1844" w:val="left"/>
        </w:tabs>
        <w:autoSpaceDE w:val="0"/>
        <w:widowControl/>
        <w:spacing w:line="228" w:lineRule="exact" w:before="12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secrétariat mettra à disposition les propositions finales dans les meilleurs délais et invitera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parties prenantes à faire part de leurs observations, pour examen par la Conférence internationale. </w:t>
      </w:r>
    </w:p>
    <w:p>
      <w:pPr>
        <w:autoSpaceDN w:val="0"/>
        <w:autoSpaceDE w:val="0"/>
        <w:widowControl/>
        <w:spacing w:line="230" w:lineRule="exact" w:before="0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observations devront être communiquées au secrétariat au moins six semaines avant la session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la Conférence internationale au cours de laquelle elles seront examinées. </w:t>
      </w:r>
    </w:p>
    <w:p>
      <w:pPr>
        <w:autoSpaceDN w:val="0"/>
        <w:tabs>
          <w:tab w:pos="1248" w:val="left"/>
        </w:tabs>
        <w:autoSpaceDE w:val="0"/>
        <w:widowControl/>
        <w:spacing w:line="233" w:lineRule="auto" w:before="250" w:after="0"/>
        <w:ind w:left="45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III.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Plans de travail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mise en œuvre des mesures visant à traiter les questions est guidée par un plan de travail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assorti d’échéances et de jalons clairement définis.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Toutes les parties prenantes sont invitées à prendre les mesures nécessaires et/ou à fournir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 financement et l’assistance nécessaires à la mise en œuvre du plan de travail. </w:t>
      </w:r>
    </w:p>
    <w:p>
      <w:pPr>
        <w:autoSpaceDN w:val="0"/>
        <w:autoSpaceDE w:val="0"/>
        <w:widowControl/>
        <w:spacing w:line="200" w:lineRule="exact" w:before="98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18 </w:t>
      </w:r>
    </w:p>
    <w:p>
      <w:pPr>
        <w:sectPr>
          <w:pgSz w:w="11906" w:h="16838"/>
          <w:pgMar w:top="458" w:right="1088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Annexe II </w:t>
      </w:r>
    </w:p>
    <w:p>
      <w:pPr>
        <w:autoSpaceDN w:val="0"/>
        <w:autoSpaceDE w:val="0"/>
        <w:widowControl/>
        <w:spacing w:line="233" w:lineRule="auto" w:before="370" w:after="0"/>
        <w:ind w:left="122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Principes et approches </w:t>
      </w:r>
    </w:p>
    <w:p>
      <w:pPr>
        <w:autoSpaceDN w:val="0"/>
        <w:tabs>
          <w:tab w:pos="1852" w:val="left"/>
        </w:tabs>
        <w:autoSpaceDE w:val="0"/>
        <w:widowControl/>
        <w:spacing w:line="230" w:lineRule="exact" w:before="120" w:after="0"/>
        <w:ind w:left="1226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Déclaration de la Conférence des Nations Unies sur l’environnement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(Déclaration de Stockholm) (1972), en particulier son principe 22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52" w:val="left"/>
        </w:tabs>
        <w:autoSpaceDE w:val="0"/>
        <w:widowControl/>
        <w:spacing w:line="228" w:lineRule="exact" w:before="114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Action 21 (1992), notamment ses chapitres 6, 8, 19 et 20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52" w:val="left"/>
        </w:tabs>
        <w:autoSpaceDE w:val="0"/>
        <w:widowControl/>
        <w:spacing w:line="228" w:lineRule="exact" w:before="114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Déclaration de Rio sur l’environnement et le développement (1992)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</w:t>
      </w:r>
    </w:p>
    <w:p>
      <w:pPr>
        <w:autoSpaceDN w:val="0"/>
        <w:tabs>
          <w:tab w:pos="1852" w:val="left"/>
        </w:tabs>
        <w:autoSpaceDE w:val="0"/>
        <w:widowControl/>
        <w:spacing w:line="228" w:lineRule="exact" w:before="114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Déclaration et Programme d’action de Beijing (1995)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52" w:val="left"/>
        </w:tabs>
        <w:autoSpaceDE w:val="0"/>
        <w:widowControl/>
        <w:spacing w:line="228" w:lineRule="exact" w:before="112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Déclaration de Bahia sur la sécurité chimique (2000)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52" w:val="left"/>
        </w:tabs>
        <w:autoSpaceDE w:val="0"/>
        <w:widowControl/>
        <w:spacing w:line="230" w:lineRule="exact" w:before="114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Déclaration du Millénaire (2000)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52" w:val="left"/>
        </w:tabs>
        <w:autoSpaceDE w:val="0"/>
        <w:widowControl/>
        <w:spacing w:line="230" w:lineRule="exact" w:before="120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Plan de mise en œuvre du Sommet mondial pour le développement durable (Plan de mise 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œuvre de Johannesburg) (2002)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52" w:val="left"/>
        </w:tabs>
        <w:autoSpaceDE w:val="0"/>
        <w:widowControl/>
        <w:spacing w:line="228" w:lineRule="exact" w:before="114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Déclaration de Dubaï sur la gestion internationale des produits chimiques (2006)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; </w:t>
      </w:r>
    </w:p>
    <w:p>
      <w:pPr>
        <w:autoSpaceDN w:val="0"/>
        <w:tabs>
          <w:tab w:pos="1852" w:val="left"/>
        </w:tabs>
        <w:autoSpaceDE w:val="0"/>
        <w:widowControl/>
        <w:spacing w:line="232" w:lineRule="exact" w:before="116" w:after="0"/>
        <w:ind w:left="122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Organisation mondiale de la Santé,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Principes d’évaluation des risques pour la santé des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enfants associés à l’exposition aux produits chimiques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(2006)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52" w:val="left"/>
        </w:tabs>
        <w:autoSpaceDE w:val="0"/>
        <w:widowControl/>
        <w:spacing w:line="228" w:lineRule="exact" w:before="114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Déclaration des Nations Unies sur les droits des peuples autochtones (2007)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52" w:val="left"/>
        </w:tabs>
        <w:autoSpaceDE w:val="0"/>
        <w:widowControl/>
        <w:spacing w:line="230" w:lineRule="exact" w:before="120" w:after="62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k)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Principes directeurs relatifs aux entreprises et aux droits de l’homme : mise en œuvre du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cadre de référence « protéger, respecter et réparer » des Nations Unies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(2011)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1.9999999999999" w:type="dxa"/>
      </w:tblPr>
      <w:tblGrid>
        <w:gridCol w:w="4771"/>
        <w:gridCol w:w="4771"/>
      </w:tblGrid>
      <w:tr>
        <w:trPr>
          <w:trHeight w:hRule="exact" w:val="1556"/>
        </w:trPr>
        <w:tc>
          <w:tcPr>
            <w:tcW w:type="dxa" w:w="103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6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m)</w:t>
            </w:r>
          </w:p>
        </w:tc>
        <w:tc>
          <w:tcPr>
            <w:tcW w:type="dxa" w:w="684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21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« L’avenir que nous voulons » (2012)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Code de conduite international sur la gestion des pesticides (2014)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; </w:t>
            </w:r>
          </w:p>
        </w:tc>
      </w:tr>
    </w:tbl>
    <w:p>
      <w:pPr>
        <w:autoSpaceDN w:val="0"/>
        <w:autoSpaceDE w:val="0"/>
        <w:widowControl/>
        <w:spacing w:line="210" w:lineRule="exact" w:before="106" w:after="0"/>
        <w:ind w:left="122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Rapport de la Conférence des Nations Unies sur l’environnement, Stockholm, 5–16 juin 1972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(A/CONF.48/14/Rev.1), première partie, chap. I. </w:t>
      </w:r>
    </w:p>
    <w:p>
      <w:pPr>
        <w:autoSpaceDN w:val="0"/>
        <w:autoSpaceDE w:val="0"/>
        <w:widowControl/>
        <w:spacing w:line="208" w:lineRule="exact" w:before="58" w:after="0"/>
        <w:ind w:left="1226" w:right="5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Rapport de la Conférence des Nations Unies sur l’environnement et le développement, Rio de Janeiro, 3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–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14 juin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1992, vol. I, Résolutions adoptées par la Conférence (publication des Nations Unies, numéro de vente : F.93.I.8 et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rectificatif), résolution 1, annexe II. </w:t>
      </w:r>
    </w:p>
    <w:p>
      <w:pPr>
        <w:autoSpaceDN w:val="0"/>
        <w:autoSpaceDE w:val="0"/>
        <w:widowControl/>
        <w:spacing w:line="208" w:lineRule="exact" w:before="60" w:after="0"/>
        <w:ind w:left="1226" w:right="5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Rapport de la Conférence des Nations Unies sur l’environnement et le développement, Rio de Janeiro, 3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–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14 juin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1992, vol. I, Résolutions adoptées par la Conférence (publication des Nations Unies, numéro de vente : F.93.I.8 et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rectificatif), résolution 1, annexe I. </w:t>
      </w:r>
    </w:p>
    <w:p>
      <w:pPr>
        <w:autoSpaceDN w:val="0"/>
        <w:autoSpaceDE w:val="0"/>
        <w:widowControl/>
        <w:spacing w:line="210" w:lineRule="exact" w:before="58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Rapport de la quatrième Conférence mondiale sur les femmes, Beijing, 4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–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15 septembre 1995 (publication des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Nations Unies, numéro de vente : F.96.IV.13), chap. I, résolution 1, annexes I et II. </w:t>
      </w:r>
    </w:p>
    <w:p>
      <w:pPr>
        <w:autoSpaceDN w:val="0"/>
        <w:autoSpaceDE w:val="0"/>
        <w:widowControl/>
        <w:spacing w:line="212" w:lineRule="exact" w:before="52" w:after="0"/>
        <w:ind w:left="122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Disponible à l’adresse suivante :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18"/>
        </w:rPr>
        <w:hyperlink r:id="rId9" w:history="1">
          <w:r>
            <w:rPr>
              <w:rStyle w:val="Hyperlink"/>
            </w:rPr>
            <w:t>https://www.who.int/fr/publications/m/item/bahia-declaration-on-chemical-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18"/>
        </w:rPr>
        <w:hyperlink r:id="rId9" w:history="1">
          <w:r>
            <w:rPr>
              <w:rStyle w:val="Hyperlink"/>
            </w:rPr>
            <w:t>safety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hyperlink r:id="rId9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24" w:lineRule="exact" w:before="42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Résolution 55/2 de l’Assemblée générale. </w:t>
      </w:r>
    </w:p>
    <w:p>
      <w:pPr>
        <w:autoSpaceDN w:val="0"/>
        <w:autoSpaceDE w:val="0"/>
        <w:widowControl/>
        <w:spacing w:line="208" w:lineRule="exact" w:before="64" w:after="0"/>
        <w:ind w:left="12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Rapport du Sommet mondial pour le développement durable, Johannesburg (Afrique du Sud),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26 août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–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4 septembre 2002 (publication des Nations Unies, numéro de vente : F.03.II.A.1), chap. I, résolution 2,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annexe. </w:t>
      </w:r>
    </w:p>
    <w:p>
      <w:pPr>
        <w:autoSpaceDN w:val="0"/>
        <w:autoSpaceDE w:val="0"/>
        <w:widowControl/>
        <w:spacing w:line="208" w:lineRule="exact" w:before="60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Approche stratégique de la gestion internationale des produits chimiques : textes et résolutions de la Conférence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internationale sur la gestion des produits chimiques (PNUE, 2006). Disponible à l’adr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esse 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FF"/>
          <w:sz w:val="18"/>
        </w:rPr>
        <w:hyperlink r:id="rId10" w:history="1">
          <w:r>
            <w:rPr>
              <w:rStyle w:val="Hyperlink"/>
            </w:rPr>
            <w:t>https://www.saicm.org/Portals/12/documents/saicmtexts/SAICM-publication-FR.pdf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10" w:lineRule="exact" w:before="58" w:after="0"/>
        <w:ind w:left="1226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9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Disponible (en anglais) à l’adresse suivante 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FF"/>
          <w:sz w:val="18"/>
        </w:rPr>
        <w:hyperlink r:id="rId11" w:history="1">
          <w:r>
            <w:rPr>
              <w:rStyle w:val="Hyperlink"/>
            </w:rPr>
            <w:t>https://iris.who.int/bitstream/handle/10665/43604/924157237X_eng.pdf?sequence=1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24" w:lineRule="exact" w:before="44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10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Résolution 61/295 de l’Assemblée générale, annexe. </w:t>
      </w:r>
    </w:p>
    <w:p>
      <w:pPr>
        <w:autoSpaceDN w:val="0"/>
        <w:autoSpaceDE w:val="0"/>
        <w:widowControl/>
        <w:spacing w:line="208" w:lineRule="exact" w:before="58" w:after="0"/>
        <w:ind w:left="12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11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Haut-Commissariat des Nations Unies aux droits de l’homme : Principes directeurs relatifs aux entreprises et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aux droits de l’homme : mise en œuvre du cadre de référence « protéger, respecter et réparer » des Nations Unies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(New York et Genève, 2011). </w:t>
      </w:r>
    </w:p>
    <w:p>
      <w:pPr>
        <w:autoSpaceDN w:val="0"/>
        <w:autoSpaceDE w:val="0"/>
        <w:widowControl/>
        <w:spacing w:line="212" w:lineRule="exact" w:before="54" w:after="0"/>
        <w:ind w:left="122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12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Document final de la Conférence des Nations Unies sur le développement durable, tenue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à Rio de Janeiro (Brésil) du 20 au 22 juin 2012. Résolution 66/288 de l’Assemblée générale, annexe. </w:t>
      </w:r>
    </w:p>
    <w:p>
      <w:pPr>
        <w:autoSpaceDN w:val="0"/>
        <w:autoSpaceDE w:val="0"/>
        <w:widowControl/>
        <w:spacing w:line="210" w:lineRule="exact" w:before="56" w:after="0"/>
        <w:ind w:left="122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13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Organisation des Nations Unies pour l’alimentation et l’agriculture et Organisation mondiale de la Santé,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Code de conduite international sur la gestion des pesticides (2014). </w:t>
      </w:r>
    </w:p>
    <w:p>
      <w:pPr>
        <w:autoSpaceDN w:val="0"/>
        <w:autoSpaceDE w:val="0"/>
        <w:widowControl/>
        <w:spacing w:line="200" w:lineRule="exact" w:before="4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19 </w:t>
      </w:r>
    </w:p>
    <w:p>
      <w:pPr>
        <w:sectPr>
          <w:pgSz w:w="11906" w:h="16838"/>
          <w:pgMar w:top="460" w:right="924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tabs>
          <w:tab w:pos="1874" w:val="left"/>
        </w:tabs>
        <w:autoSpaceDE w:val="0"/>
        <w:widowControl/>
        <w:spacing w:line="222" w:lineRule="exact" w:before="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Programme d’action d’Addis-Abeba issu de la troisième Conférence internationale </w:t>
      </w:r>
    </w:p>
    <w:p>
      <w:pPr>
        <w:autoSpaceDN w:val="0"/>
        <w:autoSpaceDE w:val="0"/>
        <w:widowControl/>
        <w:spacing w:line="228" w:lineRule="exact" w:before="2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sur le financement du développement (2015)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Organisation internationale du Travail, Principes directeurs pour une transition juste vers </w:t>
      </w:r>
    </w:p>
    <w:p>
      <w:pPr>
        <w:autoSpaceDN w:val="0"/>
        <w:autoSpaceDE w:val="0"/>
        <w:widowControl/>
        <w:spacing w:line="228" w:lineRule="exact" w:before="2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des économies et des sociétés écologiquement durables pour tous (2015)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74" w:val="left"/>
        </w:tabs>
        <w:autoSpaceDE w:val="0"/>
        <w:widowControl/>
        <w:spacing w:line="222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Transformer notre monde : le Programme de développement durable à l’horizon 2030 </w:t>
      </w:r>
    </w:p>
    <w:p>
      <w:pPr>
        <w:autoSpaceDN w:val="0"/>
        <w:autoSpaceDE w:val="0"/>
        <w:widowControl/>
        <w:spacing w:line="228" w:lineRule="exact" w:before="2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(2015)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L’autonomisation des femmes et lien avec le développement durable (conclusions concertées </w:t>
      </w:r>
    </w:p>
    <w:p>
      <w:pPr>
        <w:autoSpaceDN w:val="0"/>
        <w:autoSpaceDE w:val="0"/>
        <w:widowControl/>
        <w:spacing w:line="228" w:lineRule="exact" w:before="2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 la soixantième session de la Commission de la condition de la femme (2016)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Organisation internationale du Travail, Déclaration de principes tripartite sur les entreprises </w:t>
      </w:r>
    </w:p>
    <w:p>
      <w:pPr>
        <w:autoSpaceDN w:val="0"/>
        <w:autoSpaceDE w:val="0"/>
        <w:widowControl/>
        <w:spacing w:line="220" w:lineRule="exact" w:before="1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multinationales et la politique sociale (2022) ; </w:t>
      </w:r>
    </w:p>
    <w:p>
      <w:pPr>
        <w:autoSpaceDN w:val="0"/>
        <w:tabs>
          <w:tab w:pos="1874" w:val="left"/>
        </w:tabs>
        <w:autoSpaceDE w:val="0"/>
        <w:widowControl/>
        <w:spacing w:line="230" w:lineRule="exact" w:before="11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Organisation mondiale de la Santé,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 Feuille de route pour les produits chimiques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(2017)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1874" w:val="left"/>
        </w:tabs>
        <w:autoSpaceDE w:val="0"/>
        <w:widowControl/>
        <w:spacing w:line="222" w:lineRule="exact" w:before="12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Résolution 76/300 de l’Assemblée générale, en date du 28 juillet 2022, sur le droit à </w:t>
      </w:r>
    </w:p>
    <w:p>
      <w:pPr>
        <w:autoSpaceDN w:val="0"/>
        <w:autoSpaceDE w:val="0"/>
        <w:widowControl/>
        <w:spacing w:line="220" w:lineRule="exact" w:before="1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 environnement propre, sain et durable (2022) ; </w:t>
      </w:r>
    </w:p>
    <w:p>
      <w:pPr>
        <w:autoSpaceDN w:val="0"/>
        <w:tabs>
          <w:tab w:pos="1874" w:val="left"/>
        </w:tabs>
        <w:autoSpaceDE w:val="0"/>
        <w:widowControl/>
        <w:spacing w:line="220" w:lineRule="exact" w:before="13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accords suivants, s’il y a lieu : 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1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Convention sur l’élimination de toutes les formes de discrimination à l’égard </w:t>
      </w:r>
    </w:p>
    <w:p>
      <w:pPr>
        <w:autoSpaceDN w:val="0"/>
        <w:autoSpaceDE w:val="0"/>
        <w:widowControl/>
        <w:spacing w:line="230" w:lineRule="exact" w:before="2" w:after="0"/>
        <w:ind w:left="0" w:right="51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des femmes (1979)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1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Protocole de Montréal relatif à des substances qui appauvrissent la couche d’ozone </w:t>
      </w:r>
    </w:p>
    <w:p>
      <w:pPr>
        <w:autoSpaceDN w:val="0"/>
        <w:autoSpaceDE w:val="0"/>
        <w:widowControl/>
        <w:spacing w:line="228" w:lineRule="exact" w:before="2" w:after="0"/>
        <w:ind w:left="0" w:right="61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(1989)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2498" w:val="left"/>
        </w:tabs>
        <w:autoSpaceDE w:val="0"/>
        <w:widowControl/>
        <w:spacing w:line="228" w:lineRule="exact" w:before="114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Convention (n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170) de l’Organisation internationale du Travail sur les produits </w:t>
      </w:r>
    </w:p>
    <w:p>
      <w:pPr>
        <w:autoSpaceDN w:val="0"/>
        <w:autoSpaceDE w:val="0"/>
        <w:widowControl/>
        <w:spacing w:line="220" w:lineRule="exact" w:before="10" w:after="0"/>
        <w:ind w:left="0" w:right="543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(1990) ; 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128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Convention de Bâle sur le contrôle des mouvements transfrontières de déchets </w:t>
      </w:r>
    </w:p>
    <w:p>
      <w:pPr>
        <w:autoSpaceDN w:val="0"/>
        <w:autoSpaceDE w:val="0"/>
        <w:widowControl/>
        <w:spacing w:line="228" w:lineRule="exact" w:before="4" w:after="0"/>
        <w:ind w:left="0" w:right="35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dangereux et de leur élimination (1992)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p>
      <w:pPr>
        <w:autoSpaceDN w:val="0"/>
        <w:tabs>
          <w:tab w:pos="2498" w:val="left"/>
        </w:tabs>
        <w:autoSpaceDE w:val="0"/>
        <w:widowControl/>
        <w:spacing w:line="228" w:lineRule="exact" w:before="114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Convention (n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174) de l’Organisation internationale du Travail sur la prévention </w:t>
      </w:r>
    </w:p>
    <w:p>
      <w:pPr>
        <w:autoSpaceDN w:val="0"/>
        <w:autoSpaceDE w:val="0"/>
        <w:widowControl/>
        <w:spacing w:line="220" w:lineRule="exact" w:before="10" w:after="0"/>
        <w:ind w:left="0" w:right="36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accidents industriels majeurs (1993) ; 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1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Convention de Rotterdam sur la procédure de consentement préalable en connaissance </w:t>
      </w:r>
    </w:p>
    <w:p>
      <w:pPr>
        <w:autoSpaceDN w:val="0"/>
        <w:autoSpaceDE w:val="0"/>
        <w:widowControl/>
        <w:spacing w:line="220" w:lineRule="exact" w:before="8" w:after="0"/>
        <w:ind w:left="0" w:right="4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cause applicable à certains produits chimiques et pesticides dangereux qui font </w:t>
      </w:r>
    </w:p>
    <w:p>
      <w:pPr>
        <w:autoSpaceDN w:val="0"/>
        <w:autoSpaceDE w:val="0"/>
        <w:widowControl/>
        <w:spacing w:line="228" w:lineRule="exact" w:before="2" w:after="64"/>
        <w:ind w:left="0" w:right="32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l’objet d’un commerce international (2004)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3.9999999999998" w:type="dxa"/>
      </w:tblPr>
      <w:tblGrid>
        <w:gridCol w:w="4747"/>
        <w:gridCol w:w="4747"/>
      </w:tblGrid>
      <w:tr>
        <w:trPr>
          <w:trHeight w:hRule="exact" w:val="2522"/>
        </w:trPr>
        <w:tc>
          <w:tcPr>
            <w:tcW w:type="dxa" w:w="171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vii)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viii)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ix)</w:t>
            </w:r>
          </w:p>
        </w:tc>
        <w:tc>
          <w:tcPr>
            <w:tcW w:type="dxa" w:w="67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5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Convention de Stockholm sur les polluants organiques persistants (2004)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Règlement sanitaire international (2005)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Convention de Minamata sur le mercure (2017)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; </w:t>
            </w:r>
          </w:p>
        </w:tc>
      </w:tr>
    </w:tbl>
    <w:p>
      <w:pPr>
        <w:autoSpaceDN w:val="0"/>
        <w:autoSpaceDE w:val="0"/>
        <w:widowControl/>
        <w:spacing w:line="224" w:lineRule="exact" w:before="9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14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Résolution 69/313 de l’Assemblée générale, annexe. </w:t>
      </w:r>
    </w:p>
    <w:p>
      <w:pPr>
        <w:autoSpaceDN w:val="0"/>
        <w:autoSpaceDE w:val="0"/>
        <w:widowControl/>
        <w:spacing w:line="224" w:lineRule="exact" w:before="4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15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Organisation internationale du Travail, Principes directeurs pour une transition juste vers des économies et </w:t>
      </w:r>
    </w:p>
    <w:p>
      <w:pPr>
        <w:autoSpaceDN w:val="0"/>
        <w:autoSpaceDE w:val="0"/>
        <w:widowControl/>
        <w:spacing w:line="200" w:lineRule="exact" w:before="1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des sociétés écologiquement durables pour tous (2015). </w:t>
      </w:r>
    </w:p>
    <w:p>
      <w:pPr>
        <w:autoSpaceDN w:val="0"/>
        <w:autoSpaceDE w:val="0"/>
        <w:widowControl/>
        <w:spacing w:line="224" w:lineRule="exact" w:before="4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16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Résolution 70/1 de l’Assemblée générale. </w:t>
      </w:r>
    </w:p>
    <w:p>
      <w:pPr>
        <w:autoSpaceDN w:val="0"/>
        <w:autoSpaceDE w:val="0"/>
        <w:widowControl/>
        <w:spacing w:line="224" w:lineRule="exact" w:before="4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17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Disponible à l’adresse suivante : </w:t>
      </w:r>
    </w:p>
    <w:p>
      <w:pPr>
        <w:autoSpaceDN w:val="0"/>
        <w:autoSpaceDE w:val="0"/>
        <w:widowControl/>
        <w:spacing w:line="200" w:lineRule="exact" w:before="1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FF"/>
          <w:sz w:val="18"/>
        </w:rPr>
        <w:hyperlink r:id="rId12" w:history="1">
          <w:r>
            <w:rPr>
              <w:rStyle w:val="Hyperlink"/>
            </w:rPr>
            <w:t>https://www.unwomen.org/sites/default/files/Headquarters/Attachments/Sections/CSW/60/CSW60%20Agreed%2</w:t>
          </w:r>
        </w:hyperlink>
      </w:r>
    </w:p>
    <w:p>
      <w:pPr>
        <w:autoSpaceDN w:val="0"/>
        <w:autoSpaceDE w:val="0"/>
        <w:widowControl/>
        <w:spacing w:line="198" w:lineRule="exact" w:before="1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FF"/>
          <w:sz w:val="18"/>
        </w:rPr>
        <w:hyperlink r:id="rId12" w:history="1">
          <w:r>
            <w:rPr>
              <w:rStyle w:val="Hyperlink"/>
            </w:rPr>
            <w:t>0Conclusions%20Conclusions%20FR.pdf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24" w:lineRule="exact" w:before="4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18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Organisation mondiale de la Santé, 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Feuille de route pour les produits chimiques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(2017). </w:t>
      </w:r>
    </w:p>
    <w:p>
      <w:pPr>
        <w:autoSpaceDN w:val="0"/>
        <w:autoSpaceDE w:val="0"/>
        <w:widowControl/>
        <w:spacing w:line="224" w:lineRule="exact" w:before="4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19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Nations Unies, 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Recueil des Traités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, vol. 1249, n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20378. </w:t>
      </w:r>
    </w:p>
    <w:p>
      <w:pPr>
        <w:autoSpaceDN w:val="0"/>
        <w:autoSpaceDE w:val="0"/>
        <w:widowControl/>
        <w:spacing w:line="224" w:lineRule="exact" w:before="4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20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Nations Unies, 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Recueil des Traités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, vol. 1522, n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26369. </w:t>
      </w:r>
    </w:p>
    <w:p>
      <w:pPr>
        <w:autoSpaceDN w:val="0"/>
        <w:autoSpaceDE w:val="0"/>
        <w:widowControl/>
        <w:spacing w:line="224" w:lineRule="exact" w:before="4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21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Nations Unies, 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Recueil des Traités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, vol. 1673, n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28911. </w:t>
      </w:r>
    </w:p>
    <w:p>
      <w:pPr>
        <w:autoSpaceDN w:val="0"/>
        <w:autoSpaceDE w:val="0"/>
        <w:widowControl/>
        <w:spacing w:line="224" w:lineRule="exact" w:before="48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22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Nations Unies, 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Recueil des Traités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, vol. 2244, n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39973. </w:t>
      </w:r>
    </w:p>
    <w:p>
      <w:pPr>
        <w:autoSpaceDN w:val="0"/>
        <w:autoSpaceDE w:val="0"/>
        <w:widowControl/>
        <w:spacing w:line="224" w:lineRule="exact" w:before="4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23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Nations Unies, 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Recueil des Traités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, vol. 2256, n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40214. </w:t>
      </w:r>
    </w:p>
    <w:p>
      <w:pPr>
        <w:autoSpaceDN w:val="0"/>
        <w:autoSpaceDE w:val="0"/>
        <w:widowControl/>
        <w:spacing w:line="224" w:lineRule="exact" w:before="4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24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Organisation mondiale de la Santé, document WHA58/2005/REC/1, résolution 58.3, annexe. </w:t>
      </w:r>
    </w:p>
    <w:p>
      <w:pPr>
        <w:autoSpaceDN w:val="0"/>
        <w:autoSpaceDE w:val="0"/>
        <w:widowControl/>
        <w:spacing w:line="224" w:lineRule="exact" w:before="44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25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Nations Unies, 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Recueil des Traités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, vol. 3202, n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54669. </w:t>
      </w:r>
    </w:p>
    <w:p>
      <w:pPr>
        <w:autoSpaceDN w:val="0"/>
        <w:autoSpaceDE w:val="0"/>
        <w:widowControl/>
        <w:spacing w:line="200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20 </w:t>
      </w:r>
    </w:p>
    <w:p>
      <w:pPr>
        <w:sectPr>
          <w:pgSz w:w="11906" w:h="16838"/>
          <w:pgMar w:top="458" w:right="994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tabs>
          <w:tab w:pos="2476" w:val="left"/>
        </w:tabs>
        <w:autoSpaceDE w:val="0"/>
        <w:widowControl/>
        <w:spacing w:line="228" w:lineRule="exact" w:before="0" w:after="0"/>
        <w:ind w:left="18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Toutes les conventions fondamentales de l’Organisation internationale du Travail,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notamment la convention (n° 155) sur la sécurité et la santé des travailleur(se)s (1981)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la convention (n° 187) sur le cadre promotionnel pour la sécurité et la santé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 travail (2006), ainsi que toutes les autres normes internationales du travail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pertinentes en matière de santé et de sécurité dans le domaine des produits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chimiques et des déchets. </w:t>
      </w:r>
    </w:p>
    <w:p>
      <w:pPr>
        <w:autoSpaceDN w:val="0"/>
        <w:autoSpaceDE w:val="0"/>
        <w:widowControl/>
        <w:spacing w:line="200" w:lineRule="exact" w:before="1293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21 </w:t>
      </w:r>
    </w:p>
    <w:p>
      <w:pPr>
        <w:sectPr>
          <w:pgSz w:w="11906" w:h="16838"/>
          <w:pgMar w:top="458" w:right="924" w:bottom="7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124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Annexe III </w:t>
      </w:r>
    </w:p>
    <w:p>
      <w:pPr>
        <w:autoSpaceDN w:val="0"/>
        <w:autoSpaceDE w:val="0"/>
        <w:widowControl/>
        <w:spacing w:line="233" w:lineRule="auto" w:before="370" w:after="0"/>
        <w:ind w:left="124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Cadre de mesurabilité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20" w:after="0"/>
        <w:ind w:left="1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structure de mesurabilité et les indicateurs couvrent toutes les composantes du Cadre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mondial relatif aux produits chimiques – Pour une planète sans produits chimiques ni déchets nocifs,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 particulier ses objectifs stratégiques et cibles, récapitulés dans le tableau ci-dessous. La 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facilite l’établissement des rapports et le suivi des progrès accomplis dans la mise en œuvre du Cadre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 de leurs effets, et aide à évaluer les progrès accomplis dans la concrétisation de la vision énoncée. </w:t>
      </w:r>
    </w:p>
    <w:p>
      <w:pPr>
        <w:autoSpaceDN w:val="0"/>
        <w:tabs>
          <w:tab w:pos="1844" w:val="left"/>
        </w:tabs>
        <w:autoSpaceDE w:val="0"/>
        <w:widowControl/>
        <w:spacing w:line="232" w:lineRule="exact" w:before="116" w:after="0"/>
        <w:ind w:left="127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structure de mesurabilité s’articule autour des catégories d’indicateurs suivantes aux fins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 l’évaluation de la mise en œuvre du Cadre : </w:t>
      </w:r>
    </w:p>
    <w:p>
      <w:pPr>
        <w:autoSpaceDN w:val="0"/>
        <w:tabs>
          <w:tab w:pos="1878" w:val="left"/>
          <w:tab w:pos="2506" w:val="left"/>
        </w:tabs>
        <w:autoSpaceDE w:val="0"/>
        <w:widowControl/>
        <w:spacing w:line="230" w:lineRule="exact" w:before="120" w:after="0"/>
        <w:ind w:left="12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indicateurs de haut niveau permettant de mesurer les progrès accomplis dans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concrétisation de la vision, eu égard aux effets des substances chimiques et des déchets sur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santé humaine et l’environnement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18" w:after="0"/>
        <w:ind w:left="12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indicateurs phares qui, une fois définis, permettront de mesurer l’impact par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rapport aux objectifs stratégiques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2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indicateurs de processus permettant d’évaluer les actions menées et des indicateurs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d’impact permettant de mesurer les résultats obtenus par rapport aux cibles fixées. 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1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Autres indicateurs, selon ce qui aura été décidé. </w:t>
      </w:r>
    </w:p>
    <w:p>
      <w:pPr>
        <w:autoSpaceDN w:val="0"/>
        <w:tabs>
          <w:tab w:pos="1844" w:val="left"/>
        </w:tabs>
        <w:autoSpaceDE w:val="0"/>
        <w:widowControl/>
        <w:spacing w:line="230" w:lineRule="exact" w:before="118" w:after="0"/>
        <w:ind w:left="127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Tous les indicateurs de la structure de mesurabilité seront soit des indicateurs provenant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d’une liste d’indicateurs existants et aisément accessibles, soit des indicateurs nouveaux. </w:t>
      </w:r>
    </w:p>
    <w:p>
      <w:pPr>
        <w:autoSpaceDN w:val="0"/>
        <w:autoSpaceDE w:val="0"/>
        <w:widowControl/>
        <w:spacing w:line="222" w:lineRule="exact" w:before="10" w:after="0"/>
        <w:ind w:left="1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critères suivants devront être remplis : 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1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indicateurs sont pertinents ou utiles pour le Cadre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0" w:after="0"/>
        <w:ind w:left="124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Il existe des données permettant de créer une base de référence et d’évaluer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progrès ; 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1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 organisme responsable est désigné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2" w:lineRule="exact" w:before="116" w:after="0"/>
        <w:ind w:left="12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indicateurs peuvent être mis à jour régulièrement de façon à garantir la viabilité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mesures ; </w:t>
      </w:r>
    </w:p>
    <w:p>
      <w:pPr>
        <w:autoSpaceDN w:val="0"/>
        <w:tabs>
          <w:tab w:pos="1874" w:val="left"/>
          <w:tab w:pos="2498" w:val="left"/>
        </w:tabs>
        <w:autoSpaceDE w:val="0"/>
        <w:widowControl/>
        <w:spacing w:line="230" w:lineRule="exact" w:before="120" w:after="0"/>
        <w:ind w:left="12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L’accès aux données est facile et les parties prenantes peuvent participer à la collecte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 données ; </w:t>
      </w:r>
    </w:p>
    <w:p>
      <w:pPr>
        <w:autoSpaceDN w:val="0"/>
        <w:tabs>
          <w:tab w:pos="2498" w:val="left"/>
        </w:tabs>
        <w:autoSpaceDE w:val="0"/>
        <w:widowControl/>
        <w:spacing w:line="220" w:lineRule="exact" w:before="130" w:after="0"/>
        <w:ind w:left="18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 données sont comparables par des méthodes normalisées. </w:t>
      </w:r>
    </w:p>
    <w:p>
      <w:pPr>
        <w:autoSpaceDN w:val="0"/>
        <w:autoSpaceDE w:val="0"/>
        <w:widowControl/>
        <w:spacing w:line="200" w:lineRule="exact" w:before="55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22 </w:t>
      </w:r>
    </w:p>
    <w:p>
      <w:pPr>
        <w:sectPr>
          <w:pgSz w:w="11906" w:h="16838"/>
          <w:pgMar w:top="458" w:right="930" w:bottom="710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45" w:lineRule="auto" w:before="0" w:after="56"/>
        <w:ind w:left="1248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Structure de mesurabilité aux fins du suivi des progrès accomplis dans la mise en œuvre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du Cadre mondial relatif aux produits chimiques – Pour une planète sans produits chimiques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ni déchets nocifs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594"/>
        <w:gridCol w:w="1594"/>
        <w:gridCol w:w="1594"/>
        <w:gridCol w:w="1594"/>
        <w:gridCol w:w="1594"/>
        <w:gridCol w:w="1594"/>
      </w:tblGrid>
      <w:tr>
        <w:trPr>
          <w:trHeight w:hRule="exact" w:val="504"/>
        </w:trPr>
        <w:tc>
          <w:tcPr>
            <w:tcW w:type="dxa" w:w="1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ae3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 xml:space="preserve">Vision </w:t>
            </w:r>
          </w:p>
        </w:tc>
        <w:tc>
          <w:tcPr>
            <w:tcW w:type="dxa" w:w="804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ae3d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 xml:space="preserve">Notre vision est celle d’une planète exempte de produits chimiques et de déchets nocifs pour un avenir sûr,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 xml:space="preserve">sain et durable. </w:t>
            </w:r>
          </w:p>
        </w:tc>
      </w:tr>
      <w:tr>
        <w:trPr>
          <w:trHeight w:hRule="exact" w:val="546"/>
        </w:trPr>
        <w:tc>
          <w:tcPr>
            <w:tcW w:type="dxa" w:w="14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1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Indicateurs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de haut niveau</w:t>
            </w:r>
          </w:p>
        </w:tc>
        <w:tc>
          <w:tcPr>
            <w:tcW w:type="dxa" w:w="804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1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00" w:lineRule="exact" w:before="5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Charge mondiale de morbidité imputable aux produits chimiques et aux déchets 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198" w:lineRule="exact" w:before="4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Charge environnementale mondiale imputable aux produits chimiques et aux déchets </w:t>
            </w:r>
          </w:p>
        </w:tc>
      </w:tr>
      <w:tr>
        <w:trPr>
          <w:trHeight w:hRule="exact" w:val="4062"/>
        </w:trPr>
        <w:tc>
          <w:tcPr>
            <w:tcW w:type="dxa" w:w="14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d4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Objectifs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stratégiques </w:t>
            </w:r>
          </w:p>
        </w:tc>
        <w:tc>
          <w:tcPr>
            <w:tcW w:type="dxa" w:w="16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d4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A </w:t>
            </w:r>
          </w:p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Des cadres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juridiques,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des mécanismes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institutionnels 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des capacités sont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en place afin 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concourir et 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parvenir à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une gestion sûre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et durable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des produits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chimiques 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des déchets tout au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long de leur cycle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 vie. </w:t>
            </w:r>
          </w:p>
        </w:tc>
        <w:tc>
          <w:tcPr>
            <w:tcW w:type="dxa" w:w="1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d4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B </w:t>
            </w:r>
          </w:p>
          <w:p>
            <w:pPr>
              <w:autoSpaceDN w:val="0"/>
              <w:autoSpaceDE w:val="0"/>
              <w:widowControl/>
              <w:spacing w:line="206" w:lineRule="exact" w:before="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Des connaissances,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données 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informations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exhaustives 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adéquates sont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produites, mises à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disposition 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rendues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accessibles à tous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et toutes afin 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permettre la prise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 décisions et 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mesures 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connaissance 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cause. </w:t>
            </w:r>
          </w:p>
        </w:tc>
        <w:tc>
          <w:tcPr>
            <w:tcW w:type="dxa" w:w="1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d4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 </w:t>
            </w:r>
          </w:p>
          <w:p>
            <w:pPr>
              <w:autoSpaceDN w:val="0"/>
              <w:autoSpaceDE w:val="0"/>
              <w:widowControl/>
              <w:spacing w:line="208" w:lineRule="exact" w:before="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Les questions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préoccupantes sont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circonscrites,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hiérarchisées 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traitées. </w:t>
            </w:r>
          </w:p>
        </w:tc>
        <w:tc>
          <w:tcPr>
            <w:tcW w:type="dxa" w:w="16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d4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D </w:t>
            </w:r>
          </w:p>
          <w:p>
            <w:pPr>
              <w:autoSpaceDN w:val="0"/>
              <w:autoSpaceDE w:val="0"/>
              <w:widowControl/>
              <w:spacing w:line="206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Des produits 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substitution plus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sûrs et des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solutions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innovantes 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durables sont 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place dans 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chaînes de valeur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afin de maximiser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les avantages pour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la santé humaine 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l’environnement 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 prévenir 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risques ou, lorsque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la prévention n’est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pas possible,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les réduire au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minimum. </w:t>
            </w:r>
          </w:p>
        </w:tc>
        <w:tc>
          <w:tcPr>
            <w:tcW w:type="dxa" w:w="16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d4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E </w:t>
            </w:r>
          </w:p>
          <w:p>
            <w:pPr>
              <w:autoSpaceDN w:val="0"/>
              <w:autoSpaceDE w:val="0"/>
              <w:widowControl/>
              <w:spacing w:line="206" w:lineRule="exact" w:before="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La mise en œuvre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est renforcée grâce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à l’intensification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et à l’amélioration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 l’efficacité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 la mobilisation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des ressources,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des partenariats,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 la coopération,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du renforcement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des capacités, 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 l’intégration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dans l’ensemble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des processus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décisionnels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pertinents. </w:t>
            </w:r>
          </w:p>
        </w:tc>
      </w:tr>
      <w:tr>
        <w:trPr>
          <w:trHeight w:hRule="exact" w:val="506"/>
        </w:trPr>
        <w:tc>
          <w:tcPr>
            <w:tcW w:type="dxa" w:w="1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bd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Indicateurs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phares </w:t>
            </w:r>
          </w:p>
        </w:tc>
        <w:tc>
          <w:tcPr>
            <w:tcW w:type="dxa" w:w="16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bd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>À déterminer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)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bd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>À déterminer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)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bd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>À déterminer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) </w:t>
            </w:r>
          </w:p>
        </w:tc>
        <w:tc>
          <w:tcPr>
            <w:tcW w:type="dxa" w:w="16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bd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>À déterminer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) </w:t>
            </w:r>
          </w:p>
        </w:tc>
        <w:tc>
          <w:tcPr>
            <w:tcW w:type="dxa" w:w="1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bd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>À déterminer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) </w:t>
            </w:r>
          </w:p>
        </w:tc>
      </w:tr>
      <w:tr>
        <w:trPr>
          <w:trHeight w:hRule="exact" w:val="298"/>
        </w:trPr>
        <w:tc>
          <w:tcPr>
            <w:tcW w:type="dxa" w:w="1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ae3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Cibles </w:t>
            </w:r>
          </w:p>
        </w:tc>
        <w:tc>
          <w:tcPr>
            <w:tcW w:type="dxa" w:w="16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ae3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Cibles A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ae3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Cibles B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ae3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Cibles C</w:t>
            </w:r>
          </w:p>
        </w:tc>
        <w:tc>
          <w:tcPr>
            <w:tcW w:type="dxa" w:w="16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ae3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Cibles D </w:t>
            </w:r>
          </w:p>
        </w:tc>
        <w:tc>
          <w:tcPr>
            <w:tcW w:type="dxa" w:w="1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ae3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Cibles E</w:t>
            </w:r>
          </w:p>
        </w:tc>
      </w:tr>
      <w:tr>
        <w:trPr>
          <w:trHeight w:hRule="exact" w:val="1536"/>
        </w:trPr>
        <w:tc>
          <w:tcPr>
            <w:tcW w:type="dxa" w:w="14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d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Indicateurs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permettant de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suivre les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progrès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accomplis dans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la réalisation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des cibles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16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d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>À déterminer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)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d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>À déterminer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) </w:t>
            </w:r>
          </w:p>
        </w:tc>
        <w:tc>
          <w:tcPr>
            <w:tcW w:type="dxa" w:w="1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d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 xml:space="preserve">(À déterminer) </w:t>
            </w:r>
          </w:p>
        </w:tc>
        <w:tc>
          <w:tcPr>
            <w:tcW w:type="dxa" w:w="16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d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 xml:space="preserve">(À déterminer) </w:t>
            </w:r>
          </w:p>
        </w:tc>
        <w:tc>
          <w:tcPr>
            <w:tcW w:type="dxa" w:w="16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9d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8"/>
              </w:rPr>
              <w:t xml:space="preserve">(À déterminer) </w:t>
            </w:r>
          </w:p>
        </w:tc>
      </w:tr>
    </w:tbl>
    <w:p>
      <w:pPr>
        <w:autoSpaceDN w:val="0"/>
        <w:autoSpaceDE w:val="0"/>
        <w:widowControl/>
        <w:spacing w:line="228" w:lineRule="exact" w:before="64" w:after="0"/>
        <w:ind w:left="1248" w:right="432" w:firstLine="62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Selon le cas, les indicateurs peuvent être utilisés pour suivre les progrès accomplis dans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 réalisation des multiples cibles et peuvent aussi être considérés comme des indicateurs phares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permettant de mesurer la réalisation des objectifs stratégiques. </w:t>
      </w:r>
    </w:p>
    <w:p>
      <w:pPr>
        <w:autoSpaceDN w:val="0"/>
        <w:autoSpaceDE w:val="0"/>
        <w:widowControl/>
        <w:spacing w:line="200" w:lineRule="exact" w:before="535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23 </w:t>
      </w:r>
    </w:p>
    <w:sectPr w:rsidR="00FC693F" w:rsidRPr="0006063C" w:rsidSect="00034616">
      <w:pgSz w:w="11906" w:h="16838"/>
      <w:pgMar w:top="458" w:right="924" w:bottom="710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who.int/fr/publications/m/item/bahia-declaration-on-chemical-safety%5d" TargetMode="External"/><Relationship Id="rId10" Type="http://schemas.openxmlformats.org/officeDocument/2006/relationships/hyperlink" Target="https://www.saicm.org/Portals/12/documents/saicmtexts/SAICM-publication-FR.pdf" TargetMode="External"/><Relationship Id="rId11" Type="http://schemas.openxmlformats.org/officeDocument/2006/relationships/hyperlink" Target="https://iris.who.int/bitstream/handle/10665/43604/924157237X_eng.pdf?sequence=1" TargetMode="External"/><Relationship Id="rId12" Type="http://schemas.openxmlformats.org/officeDocument/2006/relationships/hyperlink" Target="https://www.unwomen.org/sites/default/files/Headquarters/Attachments/Sections/CSW/60/CSW60%20Agreed%20Conclusions%20Conclusions%20F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