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226" w:right="432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Cadre mondial relatif aux produits chimiques – Pour une planète </w:t>
      </w:r>
    </w:p>
    <w:p>
      <w:pPr>
        <w:sectPr>
          <w:pgSz w:w="11906" w:h="16838"/>
          <w:pgMar w:top="618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288" w:lineRule="auto" w:before="0" w:after="32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>Table des matières</w:t>
      </w:r>
    </w:p>
    <w:p>
      <w:pPr>
        <w:sectPr>
          <w:pgSz w:w="11906" w:h="16838"/>
          <w:pgMar w:top="438" w:right="976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1.9999999999999" w:type="dxa"/>
      </w:tblPr>
      <w:tblGrid>
        <w:gridCol w:w="4771"/>
        <w:gridCol w:w="4771"/>
      </w:tblGrid>
      <w:tr>
        <w:trPr>
          <w:trHeight w:hRule="exact" w:val="11514"/>
        </w:trPr>
        <w:tc>
          <w:tcPr>
            <w:tcW w:type="dxa" w:w="4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I. </w:t>
            </w:r>
          </w:p>
        </w:tc>
        <w:tc>
          <w:tcPr>
            <w:tcW w:type="dxa" w:w="4771"/>
          </w:tcPr>
          <w:p/>
        </w:tc>
      </w:tr>
    </w:tbl>
    <w:p>
      <w:pPr>
        <w:sectPr>
          <w:pgSz w:w="11906" w:h="16838"/>
          <w:pgMar w:top="498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0" w:lineRule="exact" w:before="36" w:after="42"/>
        <w:ind w:left="1248" w:right="864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Par « secteurs » on entend, entre autres, l’agriculture, l’environnement, la santé, l’éducation, </w:t>
      </w:r>
    </w:p>
    <w:p>
      <w:pPr>
        <w:sectPr>
          <w:pgSz w:w="11906" w:h="16838"/>
          <w:pgMar w:top="442" w:right="938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771"/>
        <w:gridCol w:w="4771"/>
      </w:tblGrid>
      <w:tr>
        <w:trPr>
          <w:trHeight w:hRule="exact" w:val="135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7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C. </w:t>
            </w:r>
          </w:p>
        </w:tc>
        <w:tc>
          <w:tcPr>
            <w:tcW w:type="dxa" w:w="4771"/>
          </w:tcPr>
          <w:p/>
        </w:tc>
      </w:tr>
    </w:tbl>
    <w:p>
      <w:pPr>
        <w:sectPr>
          <w:pgSz w:w="11906" w:h="16838"/>
          <w:pgMar w:top="440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2387"/>
        <w:gridCol w:w="2387"/>
        <w:gridCol w:w="2387"/>
        <w:gridCol w:w="2387"/>
      </w:tblGrid>
      <w:tr>
        <w:trPr>
          <w:trHeight w:hRule="exact" w:val="36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A. </w:t>
            </w:r>
          </w:p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  <w:tr>
        <w:tc>
          <w:tcPr>
            <w:tcW w:type="dxa" w:w="2387"/>
            <w:vMerge/>
            <w:tcBorders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  <w:tc>
          <w:tcPr>
            <w:tcW w:type="dxa" w:w="2387"/>
          </w:tcPr>
          <w:p/>
        </w:tc>
      </w:tr>
    </w:tbl>
    <w:p>
      <w:pPr>
        <w:sectPr>
          <w:pgSz w:w="11906" w:h="16838"/>
          <w:pgMar w:top="440" w:right="938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28" w:lineRule="exact" w:before="46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</w:rPr>
        <w:t>Cible B5</w:t>
      </w:r>
    </w:p>
    <w:p>
      <w:pPr>
        <w:sectPr>
          <w:pgSz w:w="11906" w:h="16838"/>
          <w:pgMar w:top="442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26" w:lineRule="exact" w:before="46" w:after="0"/>
        <w:ind w:left="1248" w:right="440" w:firstLine="0"/>
        <w:jc w:val="both"/>
      </w:pPr>
      <w:r>
        <w:rPr>
          <w:rFonts w:ascii="Times New Roman" w:hAnsi="Times New Roman" w:eastAsia="Times New Roman"/>
          <w:b/>
          <w:i/>
        </w:rPr>
        <w:t>Cible E4</w:t>
      </w:r>
    </w:p>
    <w:p>
      <w:pPr>
        <w:sectPr>
          <w:pgSz w:w="11906" w:h="16838"/>
          <w:pgMar w:top="442" w:right="972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0" w:lineRule="exact" w:before="36" w:after="42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l’esprit que ces plans ou programmes doivent être adaptés aux actions et mesures nationales et ne </w:t>
      </w:r>
    </w:p>
    <w:p>
      <w:pPr>
        <w:sectPr>
          <w:pgSz w:w="11906" w:h="16838"/>
          <w:pgMar w:top="442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0" w:lineRule="exact" w:before="36" w:after="42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des déchets, au moyen de politiques, de contrats et de pratiques sûrs et durables en matière de produits </w:t>
      </w:r>
    </w:p>
    <w:p>
      <w:pPr>
        <w:sectPr>
          <w:pgSz w:w="11906" w:h="16838"/>
          <w:pgMar w:top="442" w:right="940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91"/>
        <w:gridCol w:w="2391"/>
        <w:gridCol w:w="2391"/>
        <w:gridCol w:w="2391"/>
      </w:tblGrid>
      <w:tr>
        <w:trPr>
          <w:trHeight w:hRule="exact" w:val="3536"/>
        </w:trPr>
        <w:tc>
          <w:tcPr>
            <w:tcW w:type="dxa" w:w="1082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636" w:after="0"/>
              <w:ind w:left="0" w:right="17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C. </w:t>
            </w:r>
          </w:p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  <w:tr>
        <w:tc>
          <w:tcPr>
            <w:tcW w:type="dxa" w:w="2391"/>
            <w:vMerge/>
            <w:tcBorders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  <w:tc>
          <w:tcPr>
            <w:tcW w:type="dxa" w:w="2391"/>
          </w:tcPr>
          <w:p/>
        </w:tc>
      </w:tr>
    </w:tbl>
    <w:p>
      <w:pPr>
        <w:sectPr>
          <w:pgSz w:w="11906" w:h="16838"/>
          <w:pgMar w:top="442" w:right="924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1.9999999999999" w:type="dxa"/>
      </w:tblPr>
      <w:tblGrid>
        <w:gridCol w:w="2390"/>
        <w:gridCol w:w="2390"/>
        <w:gridCol w:w="2390"/>
        <w:gridCol w:w="2390"/>
      </w:tblGrid>
      <w:tr>
        <w:trPr>
          <w:trHeight w:hRule="exact" w:val="4216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66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IX. </w:t>
            </w:r>
          </w:p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  <w:tr>
        <w:tc>
          <w:tcPr>
            <w:tcW w:type="dxa" w:w="2390"/>
            <w:vMerge/>
            <w:tcBorders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  <w:tr>
        <w:tc>
          <w:tcPr>
            <w:tcW w:type="dxa" w:w="2390"/>
            <w:vMerge/>
            <w:tcBorders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  <w:tr>
        <w:tc>
          <w:tcPr>
            <w:tcW w:type="dxa" w:w="2390"/>
            <w:vMerge/>
            <w:tcBorders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  <w:tr>
        <w:tc>
          <w:tcPr>
            <w:tcW w:type="dxa" w:w="2390"/>
            <w:vMerge/>
            <w:tcBorders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  <w:tr>
        <w:tc>
          <w:tcPr>
            <w:tcW w:type="dxa" w:w="2390"/>
            <w:vMerge/>
            <w:tcBorders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  <w:tc>
          <w:tcPr>
            <w:tcW w:type="dxa" w:w="2390"/>
          </w:tcPr>
          <w:p/>
        </w:tc>
      </w:tr>
    </w:tbl>
    <w:p>
      <w:pPr>
        <w:sectPr>
          <w:pgSz w:w="11906" w:h="16838"/>
          <w:pgMar w:top="442" w:right="928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0" w:lineRule="exact" w:before="36" w:after="146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chimiques (SGH) à l’échelle mondiale, la production et le partage de données, les partenariats </w:t>
      </w:r>
    </w:p>
    <w:p>
      <w:pPr>
        <w:sectPr>
          <w:pgSz w:w="11906" w:h="16838"/>
          <w:pgMar w:top="442" w:right="918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3178"/>
        <w:gridCol w:w="3178"/>
        <w:gridCol w:w="3178"/>
      </w:tblGrid>
      <w:tr>
        <w:trPr>
          <w:trHeight w:hRule="exact" w:val="756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116" w:after="0"/>
              <w:ind w:left="0" w:right="1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B. </w:t>
            </w:r>
          </w:p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  <w:tr>
        <w:tc>
          <w:tcPr>
            <w:tcW w:type="dxa" w:w="3178"/>
            <w:vMerge/>
            <w:tcBorders/>
          </w:tcPr>
          <w:p/>
        </w:tc>
        <w:tc>
          <w:tcPr>
            <w:tcW w:type="dxa" w:w="3178"/>
          </w:tcPr>
          <w:p/>
        </w:tc>
        <w:tc>
          <w:tcPr>
            <w:tcW w:type="dxa" w:w="3178"/>
          </w:tcPr>
          <w:p/>
        </w:tc>
      </w:tr>
    </w:tbl>
    <w:p>
      <w:pPr>
        <w:sectPr>
          <w:pgSz w:w="11906" w:h="16838"/>
          <w:pgMar w:top="442" w:right="954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181"/>
        <w:gridCol w:w="3181"/>
        <w:gridCol w:w="3181"/>
      </w:tblGrid>
      <w:tr>
        <w:trPr>
          <w:trHeight w:hRule="exact" w:val="9840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7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C. </w:t>
            </w:r>
          </w:p>
        </w:tc>
        <w:tc>
          <w:tcPr>
            <w:tcW w:type="dxa" w:w="3181"/>
          </w:tcPr>
          <w:p/>
        </w:tc>
        <w:tc>
          <w:tcPr>
            <w:tcW w:type="dxa" w:w="3181"/>
          </w:tcPr>
          <w:p/>
        </w:tc>
      </w:tr>
      <w:tr>
        <w:tc>
          <w:tcPr>
            <w:tcW w:type="dxa" w:w="3181"/>
            <w:vMerge/>
            <w:tcBorders/>
          </w:tcPr>
          <w:p/>
        </w:tc>
        <w:tc>
          <w:tcPr>
            <w:tcW w:type="dxa" w:w="3181"/>
          </w:tcPr>
          <w:p/>
        </w:tc>
        <w:tc>
          <w:tcPr>
            <w:tcW w:type="dxa" w:w="3181"/>
          </w:tcPr>
          <w:p/>
        </w:tc>
      </w:tr>
      <w:tr>
        <w:tc>
          <w:tcPr>
            <w:tcW w:type="dxa" w:w="3181"/>
            <w:vMerge/>
            <w:tcBorders/>
          </w:tcPr>
          <w:p/>
        </w:tc>
        <w:tc>
          <w:tcPr>
            <w:tcW w:type="dxa" w:w="3181"/>
          </w:tcPr>
          <w:p/>
        </w:tc>
        <w:tc>
          <w:tcPr>
            <w:tcW w:type="dxa" w:w="3181"/>
          </w:tcPr>
          <w:p/>
        </w:tc>
      </w:tr>
    </w:tbl>
    <w:p>
      <w:pPr>
        <w:sectPr>
          <w:pgSz w:w="11906" w:h="16838"/>
          <w:pgMar w:top="440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30" w:lineRule="exact" w:before="36" w:after="42"/>
        <w:ind w:left="1248" w:right="1008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les efforts de mise en œuvre ; et, si nécessaire, hiérarchiser davantage leur participation et </w:t>
      </w:r>
    </w:p>
    <w:p>
      <w:pPr>
        <w:sectPr>
          <w:pgSz w:w="11906" w:h="16838"/>
          <w:pgMar w:top="442" w:right="922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398" w:lineRule="auto" w:before="0" w:after="114"/>
        <w:ind w:left="1226" w:right="5184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Annexe I </w:t>
      </w:r>
    </w:p>
    <w:p>
      <w:pPr>
        <w:sectPr>
          <w:pgSz w:w="11906" w:h="16838"/>
          <w:pgMar w:top="438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1.9999999999999" w:type="dxa"/>
      </w:tblPr>
      <w:tblGrid>
        <w:gridCol w:w="4700"/>
        <w:gridCol w:w="4700"/>
      </w:tblGrid>
      <w:tr>
        <w:trPr>
          <w:trHeight w:hRule="exact" w:val="459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</w:rPr>
              <w:t xml:space="preserve">III. </w:t>
            </w:r>
          </w:p>
        </w:tc>
        <w:tc>
          <w:tcPr>
            <w:tcW w:type="dxa" w:w="4700"/>
          </w:tcPr>
          <w:p/>
        </w:tc>
      </w:tr>
    </w:tbl>
    <w:p>
      <w:pPr>
        <w:sectPr>
          <w:pgSz w:w="11906" w:h="16838"/>
          <w:pgMar w:top="442" w:right="1088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Annexe II </w:t>
      </w:r>
    </w:p>
    <w:p>
      <w:pPr>
        <w:sectPr>
          <w:pgSz w:w="11906" w:h="16838"/>
          <w:pgMar w:top="438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8" w:type="dxa"/>
      </w:tblPr>
      <w:tblGrid>
        <w:gridCol w:w="3165"/>
        <w:gridCol w:w="3165"/>
        <w:gridCol w:w="3165"/>
      </w:tblGrid>
      <w:tr>
        <w:trPr>
          <w:trHeight w:hRule="exact" w:val="4136"/>
        </w:trPr>
        <w:tc>
          <w:tcPr>
            <w:tcW w:type="dxa" w:w="101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0" w:after="0"/>
              <w:ind w:left="576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</w:rPr>
              <w:t xml:space="preserve">n) </w:t>
            </w:r>
          </w:p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  <w:tr>
        <w:tc>
          <w:tcPr>
            <w:tcW w:type="dxa" w:w="3165"/>
            <w:vMerge/>
            <w:tcBorders>
              <w:bottom w:sz="4.0" w:val="single" w:color="#000000"/>
            </w:tcBorders>
          </w:tcPr>
          <w:p/>
        </w:tc>
        <w:tc>
          <w:tcPr>
            <w:tcW w:type="dxa" w:w="3165"/>
          </w:tcPr>
          <w:p/>
        </w:tc>
        <w:tc>
          <w:tcPr>
            <w:tcW w:type="dxa" w:w="3165"/>
          </w:tcPr>
          <w:p/>
        </w:tc>
      </w:tr>
    </w:tbl>
    <w:p>
      <w:pPr>
        <w:sectPr>
          <w:pgSz w:w="11906" w:h="16838"/>
          <w:pgMar w:top="442" w:right="994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771"/>
        <w:gridCol w:w="4771"/>
      </w:tblGrid>
      <w:tr>
        <w:trPr>
          <w:trHeight w:hRule="exact" w:val="14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</w:rPr>
              <w:t>x)</w:t>
            </w:r>
          </w:p>
        </w:tc>
        <w:tc>
          <w:tcPr>
            <w:tcW w:type="dxa" w:w="4771"/>
          </w:tcPr>
          <w:p/>
        </w:tc>
      </w:tr>
    </w:tbl>
    <w:p>
      <w:pPr>
        <w:sectPr>
          <w:pgSz w:w="11906" w:h="16838"/>
          <w:pgMar w:top="442" w:right="924" w:bottom="7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Annexe III </w:t>
      </w:r>
    </w:p>
    <w:p>
      <w:pPr>
        <w:sectPr>
          <w:pgSz w:w="11906" w:h="16838"/>
          <w:pgMar w:top="438" w:right="930" w:bottom="70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47" w:lineRule="auto" w:before="0" w:after="30"/>
        <w:ind w:left="1248" w:right="288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Structure de mesurabilité aux fins du suivi des progrès accomplis dans la mise en œuvre </w:t>
      </w:r>
    </w:p>
    <w:sectPr w:rsidR="00FC693F" w:rsidRPr="0006063C" w:rsidSect="00034616">
      <w:pgSz w:w="11906" w:h="16838"/>
      <w:pgMar w:top="458" w:right="924" w:bottom="704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