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488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48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60" w:lineRule="exact" w:before="98" w:after="0"/>
        <w:ind w:left="144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40"/>
        </w:rPr>
        <w:t xml:space="preserve">Critical minerals today and in 2030: an analysis </w:t>
      </w:r>
      <w:r>
        <w:rPr>
          <w:rFonts w:ascii="Arial" w:hAnsi="Arial" w:eastAsia="Arial"/>
          <w:b/>
          <w:i w:val="0"/>
          <w:color w:val="000000"/>
          <w:sz w:val="40"/>
        </w:rPr>
        <w:t xml:space="preserve">of OECD countries </w:t>
      </w:r>
    </w:p>
    <w:p>
      <w:pPr>
        <w:autoSpaceDN w:val="0"/>
        <w:autoSpaceDE w:val="0"/>
        <w:widowControl/>
        <w:spacing w:line="498" w:lineRule="exact" w:before="666" w:after="0"/>
        <w:ind w:left="144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Renaud Coulomb, Simon Dietz, Maria Godunova and </w:t>
      </w:r>
      <w:r>
        <w:rPr>
          <w:rFonts w:ascii="Arial" w:hAnsi="Arial" w:eastAsia="Arial"/>
          <w:b/>
          <w:i w:val="0"/>
          <w:color w:val="000000"/>
          <w:sz w:val="36"/>
        </w:rPr>
        <w:t xml:space="preserve">Thomas Bligaard Nielsen </w:t>
      </w:r>
    </w:p>
    <w:p>
      <w:pPr>
        <w:autoSpaceDN w:val="0"/>
        <w:autoSpaceDE w:val="0"/>
        <w:widowControl/>
        <w:spacing w:line="558" w:lineRule="exact" w:before="604" w:after="0"/>
        <w:ind w:left="0" w:right="3332" w:firstLine="0"/>
        <w:jc w:val="right"/>
      </w:pPr>
      <w:r>
        <w:rPr>
          <w:rFonts w:ascii="Arial" w:hAnsi="Arial" w:eastAsia="Arial"/>
          <w:b/>
          <w:i w:val="0"/>
          <w:color w:val="000000"/>
          <w:sz w:val="40"/>
        </w:rPr>
        <w:t xml:space="preserve">Policy paper </w:t>
      </w:r>
    </w:p>
    <w:p>
      <w:pPr>
        <w:autoSpaceDN w:val="0"/>
        <w:autoSpaceDE w:val="0"/>
        <w:widowControl/>
        <w:spacing w:line="502" w:lineRule="exact" w:before="606" w:after="0"/>
        <w:ind w:left="0" w:right="3202" w:firstLine="0"/>
        <w:jc w:val="right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November 2015 </w:t>
      </w:r>
    </w:p>
    <w:p>
      <w:pPr>
        <w:autoSpaceDN w:val="0"/>
        <w:tabs>
          <w:tab w:pos="4132" w:val="left"/>
        </w:tabs>
        <w:autoSpaceDE w:val="0"/>
        <w:widowControl/>
        <w:spacing w:line="494" w:lineRule="exact" w:before="624" w:after="0"/>
        <w:ind w:left="460" w:right="288" w:firstLine="0"/>
        <w:jc w:val="left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ESRC Centre for Climate Change Economics and </w:t>
      </w:r>
      <w:r>
        <w:tab/>
      </w:r>
      <w:r>
        <w:rPr>
          <w:rFonts w:ascii="Arial" w:hAnsi="Arial" w:eastAsia="Arial"/>
          <w:b/>
          <w:i w:val="0"/>
          <w:color w:val="000000"/>
          <w:sz w:val="36"/>
        </w:rPr>
        <w:t>Policy</w:t>
      </w:r>
    </w:p>
    <w:p>
      <w:pPr>
        <w:autoSpaceDN w:val="0"/>
        <w:autoSpaceDE w:val="0"/>
        <w:widowControl/>
        <w:spacing w:line="494" w:lineRule="exact" w:before="64" w:after="0"/>
        <w:ind w:left="144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Grantham Research Institute on Climate Change and </w:t>
      </w:r>
      <w:r>
        <w:rPr>
          <w:rFonts w:ascii="Arial" w:hAnsi="Arial" w:eastAsia="Arial"/>
          <w:b/>
          <w:i w:val="0"/>
          <w:color w:val="000000"/>
          <w:sz w:val="36"/>
        </w:rPr>
        <w:t xml:space="preserve">the Environment </w:t>
      </w:r>
    </w:p>
    <w:p>
      <w:pPr>
        <w:sectPr>
          <w:pgSz w:w="11906" w:h="16841"/>
          <w:pgMar w:top="1440" w:right="1172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74" w:lineRule="exact" w:before="62" w:after="0"/>
        <w:ind w:left="358" w:right="288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The Centre for Climate Change Economics and Policy (CCCEP)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 was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established in 2008 to advance public and private action on climate change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through rigorous, innovative research. The Centre is hosted jointly by the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University of Leeds and the London School of Economics and Political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Science. It is funded by the UK Economic and Social Research Council. More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information about the ESRC Centre for Climate Change Economics and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Policy can be found at: http://www.cccep.ac.uk </w:t>
      </w:r>
    </w:p>
    <w:p>
      <w:pPr>
        <w:autoSpaceDN w:val="0"/>
        <w:autoSpaceDE w:val="0"/>
        <w:widowControl/>
        <w:spacing w:line="274" w:lineRule="exact" w:before="568" w:after="0"/>
        <w:ind w:left="358" w:right="288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The Grantham Research Institute on Climate Change and the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Environment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was established in 2008 at the London School of Economics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and Political Science. The Institute brings together international expertise on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economics, as well as finance, geography, the environment, international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development and political economy to establish a world-leading centre for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policy-relevant research, teaching and training in climate change and the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environment. It is funded by the Grantham Foundation for the Protection of the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Environment, which also funds the Grantham Institute for Climate Change at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Imperial College London. More information about the Grantham Research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Institute can be found at: http://www.lse.ac.uk/grantham/ </w:t>
      </w:r>
    </w:p>
    <w:p>
      <w:pPr>
        <w:autoSpaceDN w:val="0"/>
        <w:autoSpaceDE w:val="0"/>
        <w:widowControl/>
        <w:spacing w:line="276" w:lineRule="exact" w:before="7176" w:after="0"/>
        <w:ind w:left="35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This policy paper is intended to inform decision-makers in the public, private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and third sectors. It has been reviewed by at least two internal referees before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publication. The views expressed in this paper represent those of the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author(s) and do not necessarily represent those of the host institutions or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funders. </w:t>
      </w:r>
    </w:p>
    <w:p>
      <w:pPr>
        <w:sectPr>
          <w:pgSz w:w="11906" w:h="16841"/>
          <w:pgMar w:top="708" w:right="1440" w:bottom="7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457200</wp:posOffset>
            </wp:positionV>
            <wp:extent cx="6731000" cy="97155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9715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854" w:val="left"/>
        </w:tabs>
        <w:autoSpaceDE w:val="0"/>
        <w:widowControl/>
        <w:spacing w:line="320" w:lineRule="exact" w:before="0" w:after="0"/>
        <w:ind w:left="77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Unclassified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ENV/WKP(2015)12 </w:t>
      </w:r>
    </w:p>
    <w:p>
      <w:pPr>
        <w:autoSpaceDN w:val="0"/>
        <w:autoSpaceDE w:val="0"/>
        <w:widowControl/>
        <w:spacing w:line="236" w:lineRule="exact" w:before="194" w:after="0"/>
        <w:ind w:left="7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Organisation de Coopération et de Développement Économiques</w:t>
      </w:r>
    </w:p>
    <w:p>
      <w:pPr>
        <w:autoSpaceDN w:val="0"/>
        <w:tabs>
          <w:tab w:pos="8062" w:val="left"/>
          <w:tab w:pos="8654" w:val="left"/>
        </w:tabs>
        <w:autoSpaceDE w:val="0"/>
        <w:widowControl/>
        <w:spacing w:line="236" w:lineRule="exact" w:before="0" w:after="0"/>
        <w:ind w:left="7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Organisation for Economic Co-operation and Development </w:t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08-Sep-2015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___________________________________________________________________________________________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English - Or. English </w:t>
      </w:r>
      <w:r>
        <w:rPr>
          <w:rFonts w:ascii="TimesNewRomanPS" w:hAnsi="TimesNewRomanPS" w:eastAsia="TimesNewRomanPS"/>
          <w:b/>
          <w:i w:val="0"/>
          <w:color w:val="000000"/>
          <w:sz w:val="18"/>
        </w:rPr>
        <w:t xml:space="preserve">ENVIRONMENT DIRECTORATE </w:t>
      </w:r>
    </w:p>
    <w:p>
      <w:pPr>
        <w:autoSpaceDN w:val="0"/>
        <w:autoSpaceDE w:val="0"/>
        <w:widowControl/>
        <w:spacing w:line="230" w:lineRule="exact" w:before="3658" w:after="0"/>
        <w:ind w:left="770" w:right="100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CRITICAL MINERALS TODAY AND IN 2030: AN ANALYSIS FOR OECD COUNTRIES -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ENVIRONMENT WORKING PAPER No. 91 </w:t>
      </w:r>
    </w:p>
    <w:p>
      <w:pPr>
        <w:autoSpaceDN w:val="0"/>
        <w:autoSpaceDE w:val="0"/>
        <w:widowControl/>
        <w:spacing w:line="230" w:lineRule="exact" w:before="230" w:after="0"/>
        <w:ind w:left="77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by Renaud Coulomb, Simon Dietz, Maria Godunova and Thomas Bligaard Nielsen (Grantham Research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Institute on Climate Change and the Environment at the London School of Economics and Political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Science (LSE), London, U.K.) </w:t>
      </w:r>
    </w:p>
    <w:p>
      <w:pPr>
        <w:autoSpaceDN w:val="0"/>
        <w:autoSpaceDE w:val="0"/>
        <w:widowControl/>
        <w:spacing w:line="230" w:lineRule="exact" w:before="1570" w:after="0"/>
        <w:ind w:left="77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OECD Working Papers should not be reported as representing the official views of the OECD or of its member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countries.  The opinions expressed and arguments employed are those of the author(s). </w:t>
      </w:r>
    </w:p>
    <w:p>
      <w:pPr>
        <w:autoSpaceDN w:val="0"/>
        <w:autoSpaceDE w:val="0"/>
        <w:widowControl/>
        <w:spacing w:line="266" w:lineRule="exact" w:before="424" w:after="0"/>
        <w:ind w:left="77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Authorised for publication by Simon Upton, Director, Environment Directorate. </w:t>
      </w:r>
    </w:p>
    <w:p>
      <w:pPr>
        <w:autoSpaceDN w:val="0"/>
        <w:autoSpaceDE w:val="0"/>
        <w:widowControl/>
        <w:spacing w:line="230" w:lineRule="exact" w:before="690" w:after="0"/>
        <w:ind w:left="77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Keywords: Critical minerals, critical materials, resource scarcity, recycling, material recovery, material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security, circular economy </w:t>
      </w:r>
    </w:p>
    <w:p>
      <w:pPr>
        <w:autoSpaceDN w:val="0"/>
        <w:autoSpaceDE w:val="0"/>
        <w:widowControl/>
        <w:spacing w:line="264" w:lineRule="exact" w:before="656" w:after="0"/>
        <w:ind w:left="77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JEL classification: Q320, Q370, O130, F690 </w:t>
      </w:r>
    </w:p>
    <w:p>
      <w:pPr>
        <w:autoSpaceDN w:val="0"/>
        <w:autoSpaceDE w:val="0"/>
        <w:widowControl/>
        <w:spacing w:line="290" w:lineRule="exact" w:before="740" w:after="0"/>
        <w:ind w:left="7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OECD Environment working papers are available at www.oecd.org/environment/workingpapers.htm </w:t>
      </w:r>
    </w:p>
    <w:p>
      <w:pPr>
        <w:autoSpaceDN w:val="0"/>
        <w:autoSpaceDE w:val="0"/>
        <w:widowControl/>
        <w:spacing w:line="264" w:lineRule="exact" w:before="636" w:after="0"/>
        <w:ind w:left="77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JT03381385 </w:t>
      </w:r>
    </w:p>
    <w:p>
      <w:pPr>
        <w:autoSpaceDN w:val="0"/>
        <w:autoSpaceDE w:val="0"/>
        <w:widowControl/>
        <w:spacing w:line="172" w:lineRule="exact" w:before="208" w:after="0"/>
        <w:ind w:left="770" w:right="5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15"/>
        </w:rPr>
        <w:t xml:space="preserve">Complete document available on OLIS in its original format </w:t>
      </w:r>
      <w:r>
        <w:br/>
      </w:r>
      <w:r>
        <w:rPr>
          <w:rFonts w:ascii="TimesNewRomanPS" w:hAnsi="TimesNewRomanPS" w:eastAsia="TimesNewRomanPS"/>
          <w:b/>
          <w:i/>
          <w:color w:val="000000"/>
          <w:sz w:val="15"/>
        </w:rPr>
        <w:t xml:space="preserve">This document and any map included herein are without prejudice to the status of or sovereignty over any territory, to the delimitation of </w:t>
      </w:r>
      <w:r>
        <w:rPr>
          <w:rFonts w:ascii="TimesNewRomanPS" w:hAnsi="TimesNewRomanPS" w:eastAsia="TimesNewRomanPS"/>
          <w:b/>
          <w:i/>
          <w:color w:val="000000"/>
          <w:sz w:val="15"/>
        </w:rPr>
        <w:t xml:space="preserve">international frontiers and boundaries and to the name of any territory, city or area. </w:t>
      </w:r>
    </w:p>
    <w:p>
      <w:pPr>
        <w:sectPr>
          <w:pgSz w:w="11906" w:h="16838"/>
          <w:pgMar w:top="484" w:right="510" w:bottom="85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2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229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OECD ENVIRONMENT WORKING PAPERS </w:t>
      </w:r>
    </w:p>
    <w:p>
      <w:pPr>
        <w:autoSpaceDN w:val="0"/>
        <w:tabs>
          <w:tab w:pos="842" w:val="left"/>
        </w:tabs>
        <w:autoSpaceDE w:val="0"/>
        <w:widowControl/>
        <w:spacing w:line="252" w:lineRule="exact" w:before="836" w:after="0"/>
        <w:ind w:left="36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OECD Working Papers should not be reported as representing the official views of the OECD or of its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member countries. The opinions expressed and arguments employed are those of the author(s). </w:t>
      </w:r>
    </w:p>
    <w:p>
      <w:pPr>
        <w:autoSpaceDN w:val="0"/>
        <w:tabs>
          <w:tab w:pos="1140" w:val="left"/>
        </w:tabs>
        <w:autoSpaceDE w:val="0"/>
        <w:widowControl/>
        <w:spacing w:line="252" w:lineRule="exact" w:before="242" w:after="0"/>
        <w:ind w:left="48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OECD Working Papers describe preliminary results or research in progress by the author(s) and are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published to stimulate discussion on a broad range of issues on which the OECD works. </w:t>
      </w:r>
    </w:p>
    <w:p>
      <w:pPr>
        <w:autoSpaceDN w:val="0"/>
        <w:tabs>
          <w:tab w:pos="608" w:val="left"/>
          <w:tab w:pos="612" w:val="left"/>
          <w:tab w:pos="3626" w:val="left"/>
        </w:tabs>
        <w:autoSpaceDE w:val="0"/>
        <w:widowControl/>
        <w:spacing w:line="252" w:lineRule="exact" w:before="242" w:after="0"/>
        <w:ind w:left="56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series is designed to make available to a wider readership selected studies on environmental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issues prepared for use within the OECD. Authorship is usually collective, but principal author(s)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named. The papers are generally available only in their original language -English or French- with a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summary in the other language. </w:t>
      </w:r>
    </w:p>
    <w:p>
      <w:pPr>
        <w:autoSpaceDN w:val="0"/>
        <w:autoSpaceDE w:val="0"/>
        <w:widowControl/>
        <w:spacing w:line="290" w:lineRule="exact" w:before="2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Comments on OECD Working Papers are welcomed, and may be sent to: </w:t>
      </w:r>
    </w:p>
    <w:p>
      <w:pPr>
        <w:autoSpaceDN w:val="0"/>
        <w:tabs>
          <w:tab w:pos="3450" w:val="left"/>
          <w:tab w:pos="3654" w:val="left"/>
        </w:tabs>
        <w:autoSpaceDE w:val="0"/>
        <w:widowControl/>
        <w:spacing w:line="254" w:lineRule="exact" w:before="252" w:after="0"/>
        <w:ind w:left="2628" w:right="23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OECD Environment Directorate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 rue André Pascal, 7577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11" w:history="1">
          <w:r>
            <w:rPr>
              <w:rStyle w:val="Hyperlink"/>
            </w:rPr>
            <w:t xml:space="preserve">5 PARIS CEDEX 16, 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France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or by e-mail: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FF"/>
          <w:sz w:val="22"/>
          <w:u w:val="single"/>
        </w:rPr>
        <w:hyperlink r:id="rId11" w:history="1">
          <w:r>
            <w:rPr>
              <w:rStyle w:val="Hyperlink"/>
            </w:rPr>
            <w:t>env.contact@oecd.org</w:t>
          </w:r>
        </w:hyperlink>
      </w:r>
    </w:p>
    <w:p>
      <w:pPr>
        <w:autoSpaceDN w:val="0"/>
        <w:autoSpaceDE w:val="0"/>
        <w:widowControl/>
        <w:spacing w:line="252" w:lineRule="exact" w:before="734" w:after="0"/>
        <w:ind w:left="2160" w:right="1872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---------------------------------------------------------------------------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OE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12" w:history="1">
          <w:r>
            <w:rPr>
              <w:rStyle w:val="Hyperlink"/>
            </w:rPr>
            <w:t>CD Environment Working Papers are published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on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hyperlink r:id="rId12" w:history="1">
          <w:r>
            <w:rPr>
              <w:rStyle w:val="Hyperlink"/>
            </w:rPr>
            <w:t xml:space="preserve">www.oecd.org/environment/workingpapers.htm </w:t>
          </w:r>
        </w:hyperlink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--------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12" w:history="1">
          <w:r>
            <w:rPr>
              <w:rStyle w:val="Hyperlink"/>
            </w:rPr>
            <w:t>-----------------------------------------------------------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-------- </w:t>
      </w:r>
    </w:p>
    <w:p>
      <w:pPr>
        <w:autoSpaceDN w:val="0"/>
        <w:autoSpaceDE w:val="0"/>
        <w:widowControl/>
        <w:spacing w:line="254" w:lineRule="exact" w:before="1010" w:after="0"/>
        <w:ind w:left="0" w:right="45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document and any map included herein are without prejudice to the status of or sovereignty over any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territory, to the delimitation of international frontiers and boundaries and to the name of any territory, city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or area. </w:t>
      </w:r>
    </w:p>
    <w:p>
      <w:pPr>
        <w:autoSpaceDN w:val="0"/>
        <w:autoSpaceDE w:val="0"/>
        <w:widowControl/>
        <w:spacing w:line="254" w:lineRule="exact" w:before="36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statistical data for Israel are supplied by and under the responsibility of the relevant Israeli authorities.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use of such data by the OECD is without prejudice to the status of the Golan Heights, East Jerusalem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Israeli settlements in the West Bank under the terms of international law. </w:t>
      </w:r>
    </w:p>
    <w:p>
      <w:pPr>
        <w:autoSpaceDN w:val="0"/>
        <w:autoSpaceDE w:val="0"/>
        <w:widowControl/>
        <w:spacing w:line="294" w:lineRule="exact" w:before="96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© OECD (2015) </w:t>
      </w:r>
    </w:p>
    <w:p>
      <w:pPr>
        <w:autoSpaceDN w:val="0"/>
        <w:autoSpaceDE w:val="0"/>
        <w:widowControl/>
        <w:spacing w:line="252" w:lineRule="exact" w:before="23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You can copy, download or print OECD content for your own use, and you can include excerpts from OECD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publications, databases and multimedia products in your own documents, presentations, blogs, websites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teaching materials, provided that suitable acknowledgment of OECD as source and copyright owner is given.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All requests for commercial use and translation rights should be submitted to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rights@oecd.org. </w:t>
      </w:r>
    </w:p>
    <w:p>
      <w:pPr>
        <w:autoSpaceDN w:val="0"/>
        <w:autoSpaceDE w:val="0"/>
        <w:widowControl/>
        <w:spacing w:line="290" w:lineRule="exact" w:before="1440" w:after="0"/>
        <w:ind w:left="0" w:right="470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 </w:t>
      </w:r>
    </w:p>
    <w:p>
      <w:pPr>
        <w:sectPr>
          <w:pgSz w:w="11906" w:h="16838"/>
          <w:pgMar w:top="612" w:right="1170" w:bottom="616" w:left="9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ABSTRACT </w:t>
      </w:r>
    </w:p>
    <w:p>
      <w:pPr>
        <w:autoSpaceDN w:val="0"/>
        <w:autoSpaceDE w:val="0"/>
        <w:widowControl/>
        <w:spacing w:line="254" w:lineRule="exact" w:before="474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Raw materials are essential for the global economy and future development depends on their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continued supply. Like fossil fuels, minerals are non-renewable. In general, their deposits in the Earth’s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crust are also geographically clustered, making security of supply a potential risk. In many cases,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exhaustion of economically competitive minerals deposits in industrialized countries has made supplies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increasingly dependent on the political stability of mineral-rich emerging economies. At the same time,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increasing demand from these emerging markets, new technologies that require large amounts of rare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, low substitutability in applications and low rates of recycling have made economies more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vulnerable to potential supply disruptions. Consequently policy-makers in several OECD countries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regions have developed reports that assess the vulnerability of their respective economies to disruptions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supply of minerals. A common aim of many of these studies is the identification of a list of so-called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‘critical minerals’, defined as minerals for which the risk of disruptions in supply is relatively high and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which supply disruptions will be associated with large economic impacts. </w:t>
      </w:r>
    </w:p>
    <w:p>
      <w:pPr>
        <w:autoSpaceDN w:val="0"/>
        <w:autoSpaceDE w:val="0"/>
        <w:widowControl/>
        <w:spacing w:line="252" w:lineRule="exact" w:before="240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purpose of this report is to perform for the first time an analysis of critical minerals for the OECD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countries as a whole. In addition, this is done not only today, as previous reports have done, but also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2030, in order to form an initial picture of how possible trends in economic development will affect which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are critical in the long-run future. 51 different minerals are included in our analysis. Three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measures of mineral supply risk are used: substitutability, recycling rates and the concentration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 in countries that are judged by international datasets to be relatively politically unstable.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Physical scarcity is not considered to be a source of supply risk, certainly in the short term. While the non-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renewable nature of minerals is an eventual constraint on what can be extracted, reserves are generally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large and market mechanisms work to alleviate the problem. Potential disruptions are instead perceived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come from the nexus of production concentration and geopolitical risks. It is also rather unlikely that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physical scarcity will affect supply risk in the period up to 2030, but the report does allow for such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scenario by introducing to the index of supply risk a measure of the number of years to forecast depletion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reserves. Vulnerability to supply risk – i.e. the ‘economic importance’ of a mineral – is more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challenging to estimate and there is no consensus among existing studies. This report looks at how each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is used in different sectors, as well as how economically important these sectors are for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economy. </w:t>
      </w:r>
    </w:p>
    <w:p>
      <w:pPr>
        <w:autoSpaceDN w:val="0"/>
        <w:autoSpaceDE w:val="0"/>
        <w:widowControl/>
        <w:spacing w:line="252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analysis identifies around 12 to 20 minerals or minerals groups, which are critical in the OECD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today. Minerals like the rare earth elements (heavy and light), germanium and natural graphite have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particularly high supply risk, while minerals such as barytes, tungsten and vanadium are particularly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economically important. Looking out to 2030, a stronger role is assumed for the physical availability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reserves in determining where production takes place, which results in increased supply risk for barytes,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borate, phosphate rock and molybdenum. Also, the economic development along a baseline scenario that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assumes continued reliance on fossil fuels for energy does not change significantly the pattern of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of the various minerals concerned. Future work should evaluate whether this also holds true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pathway towards green, low-carbon growth. Lastly the report shows what improvements in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substitutability of minerals and in their recycling rates would be sufficient today and more importantly by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2030 to mitigate supply risks and vulnerability to them. This could be a focus for public support for R&amp;D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the OECD. The results are highly mineral-specific, with some minerals requiring huge increases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substitutability and/or recycling from a low base, while others require only small improvements. </w:t>
      </w:r>
    </w:p>
    <w:p>
      <w:pPr>
        <w:autoSpaceDN w:val="0"/>
        <w:autoSpaceDE w:val="0"/>
        <w:widowControl/>
        <w:spacing w:line="252" w:lineRule="exact" w:before="24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Keywords: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Critical minerals, critical materials, resource scarcity, recycling, material recovery, material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security, circular economy </w:t>
      </w:r>
    </w:p>
    <w:p>
      <w:pPr>
        <w:autoSpaceDN w:val="0"/>
        <w:autoSpaceDE w:val="0"/>
        <w:widowControl/>
        <w:spacing w:line="294" w:lineRule="exact" w:before="20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JEL classification: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Q320, Q370, O130, F690 </w:t>
      </w:r>
    </w:p>
    <w:p>
      <w:pPr>
        <w:autoSpaceDN w:val="0"/>
        <w:autoSpaceDE w:val="0"/>
        <w:widowControl/>
        <w:spacing w:line="290" w:lineRule="exact" w:before="49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 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RÉSUMÉ </w:t>
      </w:r>
    </w:p>
    <w:p>
      <w:pPr>
        <w:autoSpaceDN w:val="0"/>
        <w:autoSpaceDE w:val="0"/>
        <w:widowControl/>
        <w:spacing w:line="252" w:lineRule="exact" w:before="476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Les matières premières sont essentielles pour l'économie mondiale et le développement futur dépend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 leur approvisionnement continu. Comme les combustibles fossiles, les minerais ne sont pas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renouvelables. Par ailleurs, leurs dépôts dans la croûte terrestre sont, en général, regroupés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géographiquement, faisant ainsi de la sécurité de l'approvisionnement un risque potentiel. Dans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nombreux cas en effet, pour ce qui est des pays industrialisés, l'épuisement des réserves en minerais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économiquement compétitifs a rendu l'approvisionnement en matières premières une activité de plus 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plus dépendante de la stabilité politique des pays émergents riches en minerais.  Dans le même temps, la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demande croissante de ces marchés émergents, mais aussi les nouvelles technologies qui nécessitent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grandes quantités de minerais rares, ainsi qu’une faible substituabilité dans leurs applications concrètes et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des taux de recyclage faibles, ont rendu les économies plus vulnérables aux éventuelles ruptures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d'approvisionnement. Par conséquent les décideurs dans plusieurs pays et régions de l'OCDE ont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commandé des rapports qui évaluent la vulnérabilité de leurs économies respectives face à des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perturbations dans l'approvisionnement en minerais. L’objectif commun d'un grand nombre de ces études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est l'identification d'une liste de soi-disant «minerais critiques», définis comme les minerais pour lesquels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le risque de perturbations de l'approvisionnement est relativement élevé et pour lesquels les ruptures 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approvisionnement seront associées à de grands impacts économiques. </w:t>
      </w:r>
    </w:p>
    <w:p>
      <w:pPr>
        <w:autoSpaceDN w:val="0"/>
        <w:autoSpaceDE w:val="0"/>
        <w:widowControl/>
        <w:spacing w:line="252" w:lineRule="exact" w:before="24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Le but de ce rapport est de réaliser pour la première fois une analyse des minerais essentiels pour les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pays de l'OCDE dans son ensemble. Cette analyse est un état des lieux à la date d’aujourd’hui, comme les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rapports précédents l’ont fait.  En outre, l’étude propose aussi une projection à l’an 2030 afin d’analyser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quelle incidence peuvent avoir les tendances dans le développement économique sur tel ou tel minerai  à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long terme. 51 minerais différents sont inclus dans notre analyse. Trois mesures d’analyse du risque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d'approvisionnement en minerais sont utilisées: la substituabilité, les taux de recyclage et la concentration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 la production dans les pays qui sont jugés par les ensembles de données internationales pour être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relativement instables politiquement. La rareté physique d’un minerai ne doit pas être considérée comme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une source de risque pour l’approvisionnement, au moins à court terme. Bien que la nature non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renouvelable d’un minerai soit une contrainte éventuelle sur les quantités qui peuvent être extraites, les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réserves sont généralement de grande taille et les mécanismes du marché fonctionnent pour atténuer 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problème. Les perturbations potentielles sont plutôt à anticiper du côté du lien qui existe entre la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concentration de la production et les risques géopolitiques. Il est également peu probable que la rareté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physique d’un minerai ait une incidence sur le risque d’approvisionnement, au moins pour ce qui est de la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période allant jusqu'à 2030, mais le rapport prévoit toutefois un tel scénario en introduisant à l'indice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risque d'approvisionnement une mesure du nombre d'années pour prévoir l'épuisement des réserves. La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vulnérabilité en matière de risque d’approvisionnement - à savoir « l'importance économique» d'un minerai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- est plus difficile à estimer et il n'y a pas de consensus entre les études existantes. Ce rapport examine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comment chaque minerai est utilisé dans différents secteurs et il montre ainsi l'importance économique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ces secteurs sur l'économie dans son ensemble. </w:t>
      </w:r>
    </w:p>
    <w:p>
      <w:pPr>
        <w:autoSpaceDN w:val="0"/>
        <w:autoSpaceDE w:val="0"/>
        <w:widowControl/>
        <w:spacing w:line="252" w:lineRule="exact" w:before="24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L'analyse identifie autour de 12 à 20 minerais ou groupes de minerais qui sont essentiels aux pays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l'OCDE aujourd'hui. Des minerais comme les terres rares (aussi bien lourds que légères), le germanium et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le graphite naturel présentent un risque particulièrement élevé en approvisionnement, tandis que les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minerais tels que la barytine, le tungstène et le vanadium sont particulièrement importants sur le plan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économique. A l’horizon 2030, on peut supposer qu’un rôle plus important sera accordé à la disponibilité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physique des réserves pour déterminer les lieux de production, ce qui entraînera un risque accru 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approvisionnement pour la baryte, le borate, le phosphate et le molybdène. En outre, le développement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économique basé sur un scénario de référence qui suppose une dépendance continue aux combustibles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fossiles pour l'approvisionnement en énergie ne change pas de manière significative le modèle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développement économique des différents minerais concernés. Les travaux futurs devraient évaluer si cela </w:t>
      </w:r>
    </w:p>
    <w:p>
      <w:pPr>
        <w:autoSpaceDN w:val="0"/>
        <w:autoSpaceDE w:val="0"/>
        <w:widowControl/>
        <w:spacing w:line="290" w:lineRule="exact" w:before="47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4 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est également vrai si l’on s’engage vers une croissance verte à faible émission en carbone. Enfin, le rapport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montre quel amélioration de la substituabilité des minerais et de leur taux de recyclage seraient nécessaire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aujourd'hui et plus important encore en 2030 pour atténuer les risques d'approvisionnement et de la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vulnérabilité face à cela. Cela pourrait être une priorité pour l’investissement public en R &amp; D au sein des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pays de l'OCDE. Les résultats restent toutefois très spécifiques pour chaque minerai car certains minerais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ayant de très faibles sources d’approvisionnement nécessitent d'énormes augmentations de substituabilité et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/ ou de recyclage tandis que d'autres ne nécessitent que de petites améliorations dans leur exploitation. </w:t>
      </w:r>
    </w:p>
    <w:p>
      <w:pPr>
        <w:autoSpaceDN w:val="0"/>
        <w:autoSpaceDE w:val="0"/>
        <w:widowControl/>
        <w:spacing w:line="252" w:lineRule="exact" w:before="24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Mots clés 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Matériaux critiques, minéraux critiques, rareté des ressources, recyclage, récupération des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matériaux, sécurité matérielle, économie circulaire </w:t>
      </w:r>
    </w:p>
    <w:p>
      <w:pPr>
        <w:autoSpaceDN w:val="0"/>
        <w:autoSpaceDE w:val="0"/>
        <w:widowControl/>
        <w:spacing w:line="294" w:lineRule="exact" w:before="19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Classification JEL: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Q320, Q370, O130, F690 </w:t>
      </w:r>
    </w:p>
    <w:p>
      <w:pPr>
        <w:autoSpaceDN w:val="0"/>
        <w:autoSpaceDE w:val="0"/>
        <w:widowControl/>
        <w:spacing w:line="290" w:lineRule="exact" w:before="1031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5 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140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TABLE OF CONTENTS </w:t>
      </w:r>
    </w:p>
    <w:p>
      <w:pPr>
        <w:autoSpaceDN w:val="0"/>
        <w:autoSpaceDE w:val="0"/>
        <w:widowControl/>
        <w:spacing w:line="310" w:lineRule="exact" w:before="658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ABSTRACT .................................................................................................................................................... 3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RÉSUMÉ ......................................................................................................................................................... 4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1. INTRODUCTION ....................................................................................................................................... 8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 IDENTIFYING CRITICAL MINERALS ................................................................................................. 11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2.1 An emerging framework for identifying critical minerals: supply risk versus economic importance . 11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2.2 This study ............................................................................................................................................. 13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2.2.1 Supply risk ..................................................................................................................................... 13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2.2.2 Economic importance .................................................................................................................... 18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2.2.3 Long-list of minerals, and data sources ......................................................................................... 19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 RESULTS .................................................................................................................................................. 20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3.1 Critical minerals in OECD countries today ......................................................................................... 20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3.1.1 Supply risk today ........................................................................................................................... 20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3.1.2 Economic importance and overall criticality today .......................................................................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3.1.3 An alternative measure of supply risk today ................................................................................. 26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3.2 Critical minerals in OECD countries in 2030 ...................................................................................... 28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3.2.1 Future supply risks ........................................................................................................................ 28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3.2.2 Future economic importance ......................................................................................................... 31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3.3 Recycling and substitutability needs .................................................................................................... 32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4. ROBUSTNESS CHECKS ......................................................................................................................... 37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4.1 Weighting factors ................................................................................................................................. 37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4.2 Alternative risk measures ..................................................................................................................... 38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4.3 An alternative approach to economic importance ................................................................................ 41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5. LIMITATIONS ......................................................................................................................................... 43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6. CONCLUSION ......................................................................................................................................... 45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REFERENCES .............................................................................................................................................. 46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Reports and papers ..................................................................................................................................... 46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Websites ..................................................................................................................................................... 47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APPENDIX ................................................................................................................................................... 48</w:t>
      </w:r>
    </w:p>
    <w:p>
      <w:pPr>
        <w:autoSpaceDN w:val="0"/>
        <w:autoSpaceDE w:val="0"/>
        <w:widowControl/>
        <w:spacing w:line="294" w:lineRule="exact" w:before="338" w:after="136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Tables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4745"/>
        <w:gridCol w:w="4745"/>
      </w:tblGrid>
      <w:tr>
        <w:trPr>
          <w:trHeight w:hRule="exact" w:val="1676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6" w:after="0"/>
              <w:ind w:left="108" w:right="188" w:firstLine="2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Table 1.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Table 2.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Table 3.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Table 4.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Table 5.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Table 6.</w:t>
            </w:r>
          </w:p>
        </w:tc>
        <w:tc>
          <w:tcPr>
            <w:tcW w:type="dxa" w:w="8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6" w:after="0"/>
              <w:ind w:left="210" w:right="0" w:firstLine="2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Minerals included in our analysis ............................................................................................ 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Minerals with a high concentration of production ................................................................. 15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Summary of sources .............................................................................................................. 19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The top ten minerals in terms of supply risk ......................................................................... 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Correlations between the elements of the supply risk index ................................................. 38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Supply risk values for all minerals. ....................................................................................... 48</w:t>
            </w:r>
          </w:p>
        </w:tc>
      </w:tr>
    </w:tbl>
    <w:p>
      <w:pPr>
        <w:autoSpaceDN w:val="0"/>
        <w:autoSpaceDE w:val="0"/>
        <w:widowControl/>
        <w:spacing w:line="290" w:lineRule="exact" w:before="29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6 </w:t>
      </w:r>
    </w:p>
    <w:p>
      <w:pPr>
        <w:sectPr>
          <w:pgSz w:w="11906" w:h="16838"/>
          <w:pgMar w:top="612" w:right="1226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2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70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Figures 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198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Criticality matrix ................................................................................................................... 12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2.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Identifying critical minerals in the OECD ............................................................................. 13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3.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Relationship between reserves and resources ........................................................................ 16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4.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Mine production and static lifetimes predictions for (a) copper and (b) nickel..................... 17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5.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Minerals as a function of production concentration and substitutability ............................... 21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6.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Critical minerals in OECD countries today ........................................................................... 23</w:t>
      </w:r>
    </w:p>
    <w:p>
      <w:pPr>
        <w:autoSpaceDN w:val="0"/>
        <w:tabs>
          <w:tab w:pos="1320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7.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Economic importance for the USA vs. the OECD as a whole, today .................................... 24</w:t>
      </w:r>
    </w:p>
    <w:p>
      <w:pPr>
        <w:autoSpaceDN w:val="0"/>
        <w:tabs>
          <w:tab w:pos="132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8.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Economic importance for Japan vs. the OECD as a whole, today ........................................ 25</w:t>
      </w:r>
    </w:p>
    <w:p>
      <w:pPr>
        <w:autoSpaceDN w:val="0"/>
        <w:tabs>
          <w:tab w:pos="132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9.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Economic importance for the EU vs. the OECD as a whole, today ...................................... 26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10.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Production-to-reserves ratio .............................................................................................. 27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11.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Comparing modified supply risk with the original formula .............................................. 28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12.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Supply risk predictions for 2030 using the production-to-reserves ratio method .............. 29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13.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Supply risk predictions for 2030 using reserve distribution instead of production ........... 31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14.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Economic Importance in 2030 ........................................................................................... 32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15.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Changes in substitutability needed to mitigate criticality today ........................................ 33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16.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Changes in substitutability needed to mitigate criticality in 2030 ..................................... 34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17.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Changes in recycling needed to mitigate criticality today ................................................. 35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18.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Changes in recycling needed to mitigate criticality in 2030 .............................................. 36</w:t>
      </w:r>
    </w:p>
    <w:p>
      <w:pPr>
        <w:autoSpaceDN w:val="0"/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Figure 19.        Supply risk based on PRS vs. Supply risk based on WGI ................................................. 39</w:t>
      </w:r>
    </w:p>
    <w:p>
      <w:pPr>
        <w:autoSpaceDN w:val="0"/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Figure 20.        Supply risk based on OMI vs. Supply risk based on WGI ................................................ 40</w:t>
      </w:r>
    </w:p>
    <w:p>
      <w:pPr>
        <w:autoSpaceDN w:val="0"/>
        <w:tabs>
          <w:tab w:pos="1542" w:val="left"/>
        </w:tabs>
        <w:autoSpaceDE w:val="0"/>
        <w:widowControl/>
        <w:spacing w:line="290" w:lineRule="exact" w:before="0" w:after="0"/>
        <w:ind w:left="1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21.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Economic importance for the USA of 9 minerals according to different methods ........... 42</w:t>
      </w:r>
    </w:p>
    <w:p>
      <w:pPr>
        <w:autoSpaceDN w:val="0"/>
        <w:autoSpaceDE w:val="0"/>
        <w:widowControl/>
        <w:spacing w:line="294" w:lineRule="exact" w:before="470" w:after="136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Boxes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4745"/>
        <w:gridCol w:w="4745"/>
      </w:tblGrid>
      <w:tr>
        <w:trPr>
          <w:trHeight w:hRule="exact" w:val="666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4" w:after="0"/>
              <w:ind w:left="0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Box1.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Box 2.</w:t>
            </w:r>
          </w:p>
        </w:tc>
        <w:tc>
          <w:tcPr>
            <w:tcW w:type="dxa" w:w="8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94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What is the relevance of material criticality to the CIRCLE project ........................................... 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Production and reserves of phosphate rock ............................................................................... 30</w:t>
            </w:r>
          </w:p>
        </w:tc>
      </w:tr>
    </w:tbl>
    <w:p>
      <w:pPr>
        <w:autoSpaceDN w:val="0"/>
        <w:autoSpaceDE w:val="0"/>
        <w:widowControl/>
        <w:spacing w:line="290" w:lineRule="exact" w:before="569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7 </w:t>
      </w:r>
    </w:p>
    <w:p>
      <w:pPr>
        <w:sectPr>
          <w:pgSz w:w="11906" w:h="16838"/>
          <w:pgMar w:top="612" w:right="1226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1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310" w:lineRule="exact" w:before="43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1. INTRODUCTION</w:t>
      </w:r>
      <w:r>
        <w:rPr>
          <w:rFonts w:ascii="TimesNewRomanPS" w:hAnsi="TimesNewRomanPS" w:eastAsia="TimesNewRomanPS"/>
          <w:b/>
          <w:i w:val="0"/>
          <w:color w:val="000000"/>
          <w:sz w:val="14"/>
        </w:rPr>
        <w:t>1</w:t>
      </w:r>
    </w:p>
    <w:p>
      <w:pPr>
        <w:autoSpaceDN w:val="0"/>
        <w:autoSpaceDE w:val="0"/>
        <w:widowControl/>
        <w:spacing w:line="254" w:lineRule="exact" w:before="714" w:after="0"/>
        <w:ind w:left="118" w:right="8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Raw materials are essential for the global economy and future development depends on their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continued supply. Covering a large variety of resources from metals to fossil fuels, raw materials enter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 system through a similarly large variety of applications. Coal, oil and natural gas continue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dominate the global economy’s primary energy mix. Tin is used in steel containers and electrical circuits,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nickel for plating and copper for electrical applications, phosphorus and potassium are used as soil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fertilizers, rare earth elements (REEs) are central in information and communications technologies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green technologies, and germanium, gallium and antimony are used in semi-conductors. </w:t>
      </w:r>
    </w:p>
    <w:p>
      <w:pPr>
        <w:autoSpaceDN w:val="0"/>
        <w:autoSpaceDE w:val="0"/>
        <w:widowControl/>
        <w:spacing w:line="254" w:lineRule="exact" w:before="238" w:after="0"/>
        <w:ind w:left="118" w:right="8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While much attention has been paid to whether the supply of fossil fuels can (and should) meet energy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demand now and in the future, global consumption of non-energy minerals increased markedly in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second half of the 20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century and particularly during the last two to three decades, where it outstripped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growth in fossil energy carriers (Krausmann et al., 2009). This trend is likely to accelerate with demands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a green-growth transition, as many environmental technologies depend crucially on rare minerals. </w:t>
      </w:r>
    </w:p>
    <w:p>
      <w:pPr>
        <w:autoSpaceDN w:val="0"/>
        <w:autoSpaceDE w:val="0"/>
        <w:widowControl/>
        <w:spacing w:line="252" w:lineRule="exact" w:before="240" w:after="226"/>
        <w:ind w:left="118" w:right="8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Like fossil fuels, minerals are non-renewable. In general, their deposits in the Earth’s crust are also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geographically clustered, making security of supply a potential risk. In many cases, the exhaustion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economically competitive minerals deposits in industrialised countries has made supplies increasingly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dependent on the political stability of mineral-rich emerging economies. At the same time, increasing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demand from these emerging markets, new technologies that require large amounts of rare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(DERA, 2012), low substitutability in applications and low rates of recycling have made economies more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vulnerable to potential supply disruptions.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9724"/>
      </w:tblGrid>
      <w:tr>
        <w:trPr>
          <w:trHeight w:hRule="exact" w:val="3462"/>
        </w:trPr>
        <w:tc>
          <w:tcPr>
            <w:tcW w:type="dxa" w:w="969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92" w:val="left"/>
              </w:tabs>
              <w:autoSpaceDE w:val="0"/>
              <w:widowControl/>
              <w:spacing w:line="252" w:lineRule="exact" w:before="0" w:after="0"/>
              <w:ind w:left="164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Box1.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What is the relevance of material criticality to the CIRCLE project </w:t>
            </w:r>
          </w:p>
          <w:p>
            <w:pPr>
              <w:autoSpaceDN w:val="0"/>
              <w:autoSpaceDE w:val="0"/>
              <w:widowControl/>
              <w:spacing w:line="206" w:lineRule="exact" w:before="238" w:after="0"/>
              <w:ind w:left="108" w:right="54" w:firstLine="442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Further degradation of the environment and natural capital compromises prospects for future economic growth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and human well-being. Without more ambitious policies, the costs and consequences of inaction on important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environmental challenges such as climate change, biodiversity loss, water scarcity and health impacts of pollution will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be significant. </w:t>
            </w:r>
          </w:p>
          <w:p>
            <w:pPr>
              <w:autoSpaceDN w:val="0"/>
              <w:autoSpaceDE w:val="0"/>
              <w:widowControl/>
              <w:spacing w:line="204" w:lineRule="exact" w:before="248" w:after="0"/>
              <w:ind w:left="108" w:right="56" w:firstLine="442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>The OECD’s “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C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ost of 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I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naction and 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esource Scarcity; 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C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onsequences for 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L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ong-term </w:t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conomic Growth”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(CIRCLE) project aims at identifying how feedbacks from poor environmental quality, climatic change and natural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resource scarcity are likely to affect economic growth in the coming decades. </w:t>
            </w:r>
          </w:p>
          <w:p>
            <w:pPr>
              <w:autoSpaceDN w:val="0"/>
              <w:autoSpaceDE w:val="0"/>
              <w:widowControl/>
              <w:spacing w:line="208" w:lineRule="exact" w:before="240" w:after="0"/>
              <w:ind w:left="108" w:right="54" w:firstLine="442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This report contributes to the resource scarcity track of the CIRCLE project. Considerations of material criticality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are relevant to this work, as supply shocks resulting from disruptions of trade, or sudden surges in demand for certain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minerals resulting from technological innovation can be expected to impact economic outcomes. This report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insights into the materials and sectors that may potentially be affected by such shocks, as well as the policies that may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be helpful in mitigating their effects. </w:t>
            </w:r>
          </w:p>
        </w:tc>
      </w:tr>
    </w:tbl>
    <w:p>
      <w:pPr>
        <w:autoSpaceDN w:val="0"/>
        <w:autoSpaceDE w:val="0"/>
        <w:widowControl/>
        <w:spacing w:line="252" w:lineRule="exact" w:before="254" w:after="376"/>
        <w:ind w:left="118" w:right="8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Consequently policy-makers in several countries and regions – for example, France, Germany,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EU, UK and US – have commissioned reports to assess the vulnerability of their respective economies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disruptions in the supply of minerals. A common aim of many of these studies is the identification of a list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so-called ‘critical minerals’, defined as minerals for which the risk of disruptions in supply is relatively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high and for which supply disruptions will be associated with large economic impacts, i.e. high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vulnerability. The purpose of this report is to perform for the first time an analysis of critical minerals for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7.99999999999997" w:type="dxa"/>
      </w:tblPr>
      <w:tblGrid>
        <w:gridCol w:w="4862"/>
        <w:gridCol w:w="4862"/>
      </w:tblGrid>
      <w:tr>
        <w:trPr>
          <w:trHeight w:hRule="exact" w:val="866"/>
        </w:trPr>
        <w:tc>
          <w:tcPr>
            <w:tcW w:type="dxa" w:w="45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10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2" w:after="0"/>
              <w:ind w:left="400" w:right="3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authors acknowledge helpful comments on earlier drafts from Peter Börkey, Alex Bowen, Ayman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Elshkaki, Sam Fankhauser,Thomas Graedel, and Adrian Chapman and for the provision of key data from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Jean Chateau and other colleagues from OECD. The views expressed in this paper are those of the authors. </w:t>
            </w:r>
          </w:p>
        </w:tc>
      </w:tr>
    </w:tbl>
    <w:p>
      <w:pPr>
        <w:autoSpaceDN w:val="0"/>
        <w:autoSpaceDE w:val="0"/>
        <w:widowControl/>
        <w:spacing w:line="290" w:lineRule="exact" w:before="3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8 </w:t>
      </w:r>
    </w:p>
    <w:p>
      <w:pPr>
        <w:sectPr>
          <w:pgSz w:w="11906" w:h="16838"/>
          <w:pgMar w:top="612" w:right="1110" w:bottom="616" w:left="10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13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112" w:right="7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OECD countries as a whole. In addition, this is done not only today, as previous reports have done, but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also in 2030, in order to form an initial picture of how possible trends in economic development will affect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which minerals are critical in the long-run future. 51 different minerals are included in our analysis, listed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Table 1. </w:t>
      </w:r>
    </w:p>
    <w:p>
      <w:pPr>
        <w:autoSpaceDN w:val="0"/>
        <w:autoSpaceDE w:val="0"/>
        <w:widowControl/>
        <w:spacing w:line="250" w:lineRule="exact" w:before="206" w:after="216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Table 1. Minerals included in our analysis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238"/>
        <w:gridCol w:w="3238"/>
        <w:gridCol w:w="3238"/>
      </w:tblGrid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Aluminium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Gypsum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REE (Light) </w:t>
            </w:r>
          </w:p>
        </w:tc>
      </w:tr>
      <w:tr>
        <w:trPr>
          <w:trHeight w:hRule="exact" w:val="422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Antimony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Hafnium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Rhenium </w:t>
            </w:r>
          </w:p>
        </w:tc>
      </w:tr>
      <w:tr>
        <w:trPr>
          <w:trHeight w:hRule="exact" w:val="422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Barytes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Indium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Scandium </w:t>
            </w:r>
          </w:p>
        </w:tc>
      </w:tr>
      <w:tr>
        <w:trPr>
          <w:trHeight w:hRule="exact" w:val="426"/>
        </w:trPr>
        <w:tc>
          <w:tcPr>
            <w:tcW w:type="dxa" w:w="32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Bauxite </w:t>
            </w:r>
          </w:p>
        </w:tc>
        <w:tc>
          <w:tcPr>
            <w:tcW w:type="dxa" w:w="32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Iron ore </w:t>
            </w:r>
          </w:p>
        </w:tc>
        <w:tc>
          <w:tcPr>
            <w:tcW w:type="dxa" w:w="32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Selenium </w:t>
            </w:r>
          </w:p>
        </w:tc>
      </w:tr>
      <w:tr>
        <w:trPr>
          <w:trHeight w:hRule="exact" w:val="420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Bentonite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Limestone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Silica sand </w:t>
            </w:r>
          </w:p>
        </w:tc>
      </w:tr>
      <w:tr>
        <w:trPr>
          <w:trHeight w:hRule="exact" w:val="422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Beryllium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Lithium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Silicon metal </w:t>
            </w:r>
          </w:p>
        </w:tc>
      </w:tr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Borate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Magnesite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Silver </w:t>
            </w:r>
          </w:p>
        </w:tc>
      </w:tr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Chromium </w:t>
            </w:r>
          </w:p>
        </w:tc>
        <w:tc>
          <w:tcPr>
            <w:tcW w:type="dxa" w:w="322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Magnesium </w:t>
            </w:r>
          </w:p>
        </w:tc>
        <w:tc>
          <w:tcPr>
            <w:tcW w:type="dxa" w:w="32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Talc </w:t>
            </w:r>
          </w:p>
        </w:tc>
      </w:tr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Clays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Manganese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Tantalum </w:t>
            </w:r>
          </w:p>
        </w:tc>
      </w:tr>
      <w:tr>
        <w:trPr>
          <w:trHeight w:hRule="exact" w:val="422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Cobalt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Molybdenum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Tellurium </w:t>
            </w:r>
          </w:p>
        </w:tc>
      </w:tr>
      <w:tr>
        <w:trPr>
          <w:trHeight w:hRule="exact" w:val="422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Coking coal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Natural Graphite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Tin </w:t>
            </w:r>
          </w:p>
        </w:tc>
      </w:tr>
      <w:tr>
        <w:trPr>
          <w:trHeight w:hRule="exact" w:val="422"/>
        </w:trPr>
        <w:tc>
          <w:tcPr>
            <w:tcW w:type="dxa" w:w="32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Copper </w:t>
            </w:r>
          </w:p>
        </w:tc>
        <w:tc>
          <w:tcPr>
            <w:tcW w:type="dxa" w:w="32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Nickel </w:t>
            </w:r>
          </w:p>
        </w:tc>
        <w:tc>
          <w:tcPr>
            <w:tcW w:type="dxa" w:w="32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Titanium </w:t>
            </w:r>
          </w:p>
        </w:tc>
      </w:tr>
      <w:tr>
        <w:trPr>
          <w:trHeight w:hRule="exact" w:val="426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Diatomite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Niobium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Tungsten </w:t>
            </w:r>
          </w:p>
        </w:tc>
      </w:tr>
      <w:tr>
        <w:trPr>
          <w:trHeight w:hRule="exact" w:val="420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Feldspar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Perlite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Vanadium </w:t>
            </w:r>
          </w:p>
        </w:tc>
      </w:tr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Fluorspar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Platinum Group Metals (PGMs)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Zinc </w:t>
            </w:r>
          </w:p>
        </w:tc>
      </w:tr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Gallium </w:t>
            </w:r>
          </w:p>
        </w:tc>
        <w:tc>
          <w:tcPr>
            <w:tcW w:type="dxa" w:w="322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Phosphate Rock </w:t>
            </w:r>
          </w:p>
        </w:tc>
        <w:tc>
          <w:tcPr>
            <w:tcW w:type="dxa" w:w="32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4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Germanium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Potash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0"/>
        </w:trPr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Gold </w:t>
            </w:r>
          </w:p>
        </w:tc>
        <w:tc>
          <w:tcPr>
            <w:tcW w:type="dxa" w:w="3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65F91"/>
                <w:sz w:val="22"/>
              </w:rPr>
              <w:t xml:space="preserve">REE (Heavy) </w:t>
            </w:r>
          </w:p>
        </w:tc>
        <w:tc>
          <w:tcPr>
            <w:tcW w:type="dxa" w:w="32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52" w:lineRule="exact" w:before="256" w:after="0"/>
        <w:ind w:left="112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Three measures of mineral supply risk are used: substitutability, recycling rates and the concentration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production in countries that are judged by international datasets to be relatively politically unstable.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Physical scarcity is not considered to be a source of supply risk, certainly in the short term. While the non-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renewable nature of minerals is an eventual constraint on what can be extracted, reserves are generally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large and market mechanisms work to alleviate the problem. Increased scarcity stimulates price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adjustments, which trigger technological development, new exploration, higher recycling efforts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search for substitutes. Potential disruptions are instead perceived to come from the nexus of production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concentration and geopolitical risks. It is also rather unlikely that physical scarcity will affect supply risk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period up to 2030, but the report does allow for such a scenario by introducing to the index of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 a measure of the number of years to forecast depletion of reserves. </w:t>
      </w:r>
    </w:p>
    <w:p>
      <w:pPr>
        <w:autoSpaceDN w:val="0"/>
        <w:autoSpaceDE w:val="0"/>
        <w:widowControl/>
        <w:spacing w:line="254" w:lineRule="exact" w:before="238" w:after="0"/>
        <w:ind w:left="112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Vulnerability to supply risk – i.e. the ‘economic importance’ of a mineral – is more challenging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estimate and there is no consensus among existing studies. One key study quantified economic importance </w:t>
      </w:r>
    </w:p>
    <w:p>
      <w:pPr>
        <w:autoSpaceDN w:val="0"/>
        <w:autoSpaceDE w:val="0"/>
        <w:widowControl/>
        <w:spacing w:line="290" w:lineRule="exact" w:before="48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9 </w:t>
      </w:r>
    </w:p>
    <w:p>
      <w:pPr>
        <w:sectPr>
          <w:pgSz w:w="11906" w:h="16838"/>
          <w:pgMar w:top="612" w:right="1114" w:bottom="616" w:left="107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 the substitutability of minerals, assuming that a mineral is more critical if few substitutes exist (National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Resource Council of the National Academies, 2008). Another major study embarked on a more elaborate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assessment and identified how each mineral is used in different sectors, as well as how economically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important these sectors are for the economy (European Commission, 2010, 2014). This latter approach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one this report takes. </w:t>
      </w:r>
    </w:p>
    <w:p>
      <w:pPr>
        <w:autoSpaceDN w:val="0"/>
        <w:autoSpaceDE w:val="0"/>
        <w:widowControl/>
        <w:spacing w:line="252" w:lineRule="exact" w:before="24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weakness of existing studies is their static nature. Minerals criticality is a dynamic concept, 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market fundamentals change over time. Structural change, shifting political risks, new technologies,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changes in recycling behavior, the discovery of new substitutes, demand growth, environmental policies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besides other factors, all affect criticality. Taking the full gamut of these dynamic factors into account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impracticable, yet understanding the scope of potential changes in the set of critical minerals over the next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decade and a half may be as important for policy actions that could be taken in the near future as assessing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current levels of criticality. By incorporating projections of the future sectoral composition of the OECD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economies based on OECD macro-economic modeling, as well as various scenarios for how the global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distribution of minerals production evolves, the report explores how dynamics affect minerals criticality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today until 2030. Moreover we place special focus on the question of what recycling rates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substitution levels will be needed to mitigate threats, since current policies on innovation in the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sector could exert an effect on this timescale. </w:t>
      </w:r>
    </w:p>
    <w:p>
      <w:pPr>
        <w:autoSpaceDN w:val="0"/>
        <w:autoSpaceDE w:val="0"/>
        <w:widowControl/>
        <w:spacing w:line="290" w:lineRule="exact" w:before="204" w:after="0"/>
        <w:ind w:left="4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sum this report serves several aims: </w:t>
      </w:r>
    </w:p>
    <w:p>
      <w:pPr>
        <w:autoSpaceDN w:val="0"/>
        <w:autoSpaceDE w:val="0"/>
        <w:widowControl/>
        <w:spacing w:line="290" w:lineRule="exact" w:before="218" w:after="0"/>
        <w:ind w:left="114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offers a coherent and transparent framework to study critical minerals across the OECD; </w:t>
      </w:r>
    </w:p>
    <w:p>
      <w:pPr>
        <w:autoSpaceDN w:val="0"/>
        <w:autoSpaceDE w:val="0"/>
        <w:widowControl/>
        <w:spacing w:line="290" w:lineRule="exact" w:before="42" w:after="0"/>
        <w:ind w:left="114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introduces a dynamic perspective up to 2030, considering several scenarios; </w:t>
      </w:r>
    </w:p>
    <w:p>
      <w:pPr>
        <w:autoSpaceDN w:val="0"/>
        <w:autoSpaceDE w:val="0"/>
        <w:widowControl/>
        <w:spacing w:line="290" w:lineRule="exact" w:before="44" w:after="0"/>
        <w:ind w:left="114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provides policy recommendations on recycling efforts and the development of substitutes. </w:t>
      </w:r>
    </w:p>
    <w:p>
      <w:pPr>
        <w:autoSpaceDN w:val="0"/>
        <w:autoSpaceDE w:val="0"/>
        <w:widowControl/>
        <w:spacing w:line="254" w:lineRule="exact" w:before="18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What demarcates critical minerals in a framework like this is ultimately and unavoidably arbitrary, but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analysis identifies around 12 to 20 minerals or minerals groups, which are critical in the OECD today.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like the rare earth elements (heavy and light), germanium and natural graphite have a particularly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high supply risk, while minerals such as barytes, tungsten and vanadium are particularly economically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important.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While it is beyond the scope of this report to assess which minerals are critical for OECD countries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individually, the analysis is broken down for the EU, Japan and the United States and finds at most small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differences between these countries/regions individually and the OECD on aggregate. The one exception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barytes, the economic importance of which is due to its use in the oil and gas industry in the United States. </w:t>
      </w:r>
    </w:p>
    <w:p>
      <w:pPr>
        <w:autoSpaceDN w:val="0"/>
        <w:autoSpaceDE w:val="0"/>
        <w:widowControl/>
        <w:spacing w:line="254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Using an alternative measure of the concentration of production that accounts for physical constraints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minerals extraction (i.e. the production-to-reserves ratio), shows that antimony has a much higher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 in the OECD today, while the group of heavy rare earth elements has a much lower supply risk. </w:t>
      </w:r>
    </w:p>
    <w:p>
      <w:pPr>
        <w:autoSpaceDN w:val="0"/>
        <w:autoSpaceDE w:val="0"/>
        <w:widowControl/>
        <w:spacing w:line="254" w:lineRule="exact" w:before="238" w:after="0"/>
        <w:ind w:left="2" w:right="20" w:firstLine="4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Looking out to 2030, a stronger role is assumed for the physical availability of reserves in determining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where production takes place, which results in increased supply risk for barytes, borate, phosphate rock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molybdenum. Also, the economic development along a baseline scenario that assumes continued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reliance on fossil fuels for energy does not change significantly the pattern of economic importance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various minerals concerned. Future work should evaluate whether this also holds true for a pathway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towards green, low-carbon growth. </w:t>
      </w:r>
    </w:p>
    <w:p>
      <w:pPr>
        <w:autoSpaceDN w:val="0"/>
        <w:autoSpaceDE w:val="0"/>
        <w:widowControl/>
        <w:spacing w:line="252" w:lineRule="exact" w:before="240" w:after="0"/>
        <w:ind w:left="2" w:right="20" w:firstLine="4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Lastly the report shows what improvements in the substitutability of minerals and in their recycling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rates would be sufficient today and more importantly by 2030 to mitigate supply risks and vulnerability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them. This could be a focus for public support for R&amp;D in the OECD. The results are highly mineral-</w:t>
      </w:r>
    </w:p>
    <w:p>
      <w:pPr>
        <w:autoSpaceDN w:val="0"/>
        <w:autoSpaceDE w:val="0"/>
        <w:widowControl/>
        <w:spacing w:line="290" w:lineRule="exact" w:before="65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10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specific, with some minerals requiring huge increases in substitutability and/or recycling from a low base,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while others require only small improvements.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 are numerous limitations to this analysis and it should consequently be seen as exploratory.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Measuring economic importance convincingly on the one hand and systematically for large numbers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across many countries on the other hand, appears vital. An important message to emerge from 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evaluation of the limitations of the report is that most of them stem from a severe shortage of data 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supply and use, which makes a systematic comparison of criticality across a wide range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very difficult to achieve. Economic importance is the leading example of this.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Therefore a key conclusion of the report is that there is an urgent need to improve the availability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researchers and public policy-makers of data on the main components of minerals supply risk and use,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globally. </w:t>
      </w:r>
    </w:p>
    <w:p>
      <w:pPr>
        <w:autoSpaceDN w:val="0"/>
        <w:autoSpaceDE w:val="0"/>
        <w:widowControl/>
        <w:spacing w:line="294" w:lineRule="exact" w:before="68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2. IDENTIFYING CRITICAL MINERALS </w:t>
      </w:r>
    </w:p>
    <w:p>
      <w:pPr>
        <w:autoSpaceDN w:val="0"/>
        <w:autoSpaceDE w:val="0"/>
        <w:widowControl/>
        <w:spacing w:line="252" w:lineRule="exact" w:before="72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2.1 An emerging framework for identifying critical minerals: supply risk versus economic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importance </w:t>
      </w:r>
    </w:p>
    <w:p>
      <w:pPr>
        <w:autoSpaceDN w:val="0"/>
        <w:autoSpaceDE w:val="0"/>
        <w:widowControl/>
        <w:spacing w:line="252" w:lineRule="exact" w:before="236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recent years, the rapid increase in minerals use has motivated significant interest in systematically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analysing their scarcity. As a consequence, several studies have been published, which attempt to do so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across a wide range of minerals and for a particular economy in focus. </w:t>
      </w:r>
    </w:p>
    <w:p>
      <w:pPr>
        <w:autoSpaceDN w:val="0"/>
        <w:autoSpaceDE w:val="0"/>
        <w:widowControl/>
        <w:spacing w:line="252" w:lineRule="exact" w:before="24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These studies by and large share a common framework that defines a mineral as critical,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relative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other minerals, if it is characterised by both high supply risks and high vulnerability to a restriction 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supply (Figure 1). Some studies add a third dimension that accounts for the environmental implications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extraction and use (see Graedel et al., 2012).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philosophy behind this approach seeks to strike a balance between using ‘hard’ data and rigorous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theory on the one hand and exercising judgement on the other hand, because at the heart of the analyst’s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problem in identifying critical minerals is the disconnect between the scope of what policy-makers would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like to know and the severe shortage of comparable data on minerals. In the words of one of the chief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developers of the framework, “a balance has been sought between analytical rigor and data availability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evaluate the criticality of as many metals as possible and to draw attention to cases for which data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simply not adequate” (Graedel et al., 2012, p1064). </w:t>
      </w:r>
    </w:p>
    <w:p>
      <w:pPr>
        <w:autoSpaceDN w:val="0"/>
        <w:autoSpaceDE w:val="0"/>
        <w:widowControl/>
        <w:spacing w:line="254" w:lineRule="exact" w:before="236" w:after="0"/>
        <w:ind w:left="0" w:right="20" w:firstLine="442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2"/>
        </w:rPr>
        <w:t>Minerals, Critical Minerals, and the US Economy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was a report by the specially established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‘Committee on Critical Mineral Impacts on the U.S. Economy’ of the National Research Council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National Academies (2008). The motivation behind the study is typical of this emerging literature, namely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concern “that the impacts of potential restrictions on the supply of nonfuel minerals to different sectors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the US economy were not adequately articulated in the national discussion on natural resource use” (p2).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analyse minerals criticality, the Committee proposed a ‘Criticality Matrix’ much like Figure 1, placing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measure of supply risk on one axis and a measure of the impact of a supply fluctuation (i.e. whether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is essential in use) on the other axis. Having analysed a set of 11 minerals within this framework,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study found that for the US economy at the time, indium, manganese, niobium, platinum group metals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(PGMs), and the rare earth elements were critical. </w:t>
      </w:r>
    </w:p>
    <w:p>
      <w:pPr>
        <w:autoSpaceDN w:val="0"/>
        <w:autoSpaceDE w:val="0"/>
        <w:widowControl/>
        <w:spacing w:line="290" w:lineRule="exact" w:before="82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11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1. Criticality matrix </w:t>
      </w:r>
    </w:p>
    <w:p>
      <w:pPr>
        <w:autoSpaceDN w:val="0"/>
        <w:autoSpaceDE w:val="0"/>
        <w:widowControl/>
        <w:spacing w:line="240" w:lineRule="auto" w:before="0" w:after="0"/>
        <w:ind w:left="23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89580" cy="278637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786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4" w:lineRule="exact" w:before="40" w:after="0"/>
        <w:ind w:left="0" w:right="3312" w:firstLine="0"/>
        <w:jc w:val="left"/>
      </w:pPr>
      <w:r>
        <w:rPr>
          <w:rFonts w:ascii="Arial" w:hAnsi="Arial" w:eastAsia="Arial"/>
          <w:b/>
          <w:i w:val="0"/>
          <w:color w:val="000000"/>
          <w:sz w:val="16"/>
        </w:rPr>
        <w:t xml:space="preserve">Interpretation of the zones: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1. High risk and high impact of supply restrictions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2. Low risk but high impact of supply restrictions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3. High risk but low impact of supply restrictions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4. Low risk and low impact of supply restrictions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Minerals falling in area 1 are thus defined as being more critical than those in 2, 3 or 4. </w:t>
      </w:r>
    </w:p>
    <w:p>
      <w:pPr>
        <w:autoSpaceDN w:val="0"/>
        <w:autoSpaceDE w:val="0"/>
        <w:widowControl/>
        <w:spacing w:line="212" w:lineRule="exact" w:before="0" w:after="0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6"/>
        </w:rPr>
        <w:t xml:space="preserve">Source: Graedel and Allenby (2010) </w:t>
      </w:r>
    </w:p>
    <w:p>
      <w:pPr>
        <w:autoSpaceDN w:val="0"/>
        <w:autoSpaceDE w:val="0"/>
        <w:widowControl/>
        <w:spacing w:line="252" w:lineRule="exact" w:before="36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European Commission published its own analysis of minerals criticality in 2010 –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Critical Raw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Materials for the EU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(European Commission, 2010)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and updated it in 2014 (European Commission,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2014)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.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The 2010 report proposed a framework for identifying critical minerals that comprised three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dimensions. Like the US study it analysed supply risk on the one hand and a measure of the ‘economic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importance’ – to use the EU terminology – of a mineral on the other hand, but in addition it included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third measure, environmental risk. To be precise, this was an indicator of “the risks that measures might be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taken by countries with the intention of protecting the environment and by doing so endangering the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of raw materials to the European Union” (European Commission, 2010, p29).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A critical mineral was then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mineral that scored highly on the measure of economic importance, as well as on the measure of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and/or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environmental risk. However, since environmental risk was not found in practice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significantly determine minerals criticality, it was dropped in the 2014 update. Out of 54 materials studied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2014, 20 were identified as critical for the EU: antimony, beryllium, borates, chromium, cobalt, coking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coal, fluorspar, gallium, germanium, indium, magnesite, magnesium, natural graphite, niobium, PGMs,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phosphate rock, heavy and light rare earth elements, silicon metal, and tungsten. </w:t>
      </w:r>
    </w:p>
    <w:p>
      <w:pPr>
        <w:autoSpaceDN w:val="0"/>
        <w:autoSpaceDE w:val="0"/>
        <w:widowControl/>
        <w:spacing w:line="252" w:lineRule="exact" w:before="242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Another study in this tradition was carried out for the UK economy by Oakdene Hollins (2008);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Material Security: Ensuring Resource Availability for the UK Economy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. This report relied on a two-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dimensional analysis of supply risk against ‘material risk’, where material risk can be given various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interpretations or indicators, including those in line with measuring economic vulnerability to fluctuations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supply, i.e. global consumption levels and availability of substitutes, and those more similar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environmental risk, i.e. contribution to global warming (in terms of Global Warming Potential). Out of </w:t>
      </w:r>
    </w:p>
    <w:p>
      <w:pPr>
        <w:autoSpaceDN w:val="0"/>
        <w:autoSpaceDE w:val="0"/>
        <w:widowControl/>
        <w:spacing w:line="230" w:lineRule="exact" w:before="674" w:after="0"/>
        <w:ind w:left="85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Note that this is a different conception of the environmental implications of mineral use than that put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forward in Graedel et al. (2012) and mentioned above, which explicitly considers environmental impacts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minerals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beyond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possible contribution of environmental regulations to supply-security threats. </w:t>
      </w:r>
    </w:p>
    <w:p>
      <w:pPr>
        <w:autoSpaceDN w:val="0"/>
        <w:autoSpaceDE w:val="0"/>
        <w:widowControl/>
        <w:spacing w:line="290" w:lineRule="exact" w:before="40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12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69 materials analysed, seven were identified as being most critical or ‘insecure’ in the language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report. These were gold, rhodium, platinum, strontium, silver, antimony and tin.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sets of minerals identified as being critical differ across these studies depending not only on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economy in focus (e.g. UK versus US), but also on the specific research design, i.e. how the general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framework introduced at the start of this section is put into operation. A key difference between the studies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is the number of dimensions (two or three) and in what each dimension is taken to mean. In addition,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another important source of difference is in how the performance of a mineral on each dimension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quantified. Erdmann and Graedel (2011) provide a review. </w:t>
      </w:r>
    </w:p>
    <w:p>
      <w:pPr>
        <w:autoSpaceDN w:val="0"/>
        <w:autoSpaceDE w:val="0"/>
        <w:widowControl/>
        <w:spacing w:line="294" w:lineRule="exact" w:before="2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2.2 This study </w:t>
      </w:r>
    </w:p>
    <w:p>
      <w:pPr>
        <w:autoSpaceDN w:val="0"/>
        <w:autoSpaceDE w:val="0"/>
        <w:widowControl/>
        <w:spacing w:line="254" w:lineRule="exact" w:before="23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study of critical minerals for the OECD countries builds upon the framework discussed above.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is defined as critical if it is of high economic importance and its supply is associated with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significant risk. The reportparticularly draws on the latest report for the EU (European Commission, 2014),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because it is relatively well rooted in ‘objective’, quantitative data, and because the approach is practicable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large numbers of minerals and many countries, given the current availability of data. However, because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scope of the analysis extends beyond the present day to 2030, the report builds on the framework by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incorporating dynamic considerations, i.e. changes over time in the supply risk attending to and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of minerals. </w:t>
      </w:r>
    </w:p>
    <w:p>
      <w:pPr>
        <w:autoSpaceDN w:val="0"/>
        <w:autoSpaceDE w:val="0"/>
        <w:widowControl/>
        <w:spacing w:line="252" w:lineRule="exact" w:before="24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Several robustness checks are also carried-out, analysing how different measures of supply risk relate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each other, how the analysis changes if alternative measures of political stability are used, and how it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might change if an alternative measure of economic importance would be used for all minerals (we can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only make this particular comparison for a limited number of minerals and only for the US). The general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methodology is represented in Figure 2. </w:t>
      </w:r>
    </w:p>
    <w:p>
      <w:pPr>
        <w:autoSpaceDN w:val="0"/>
        <w:autoSpaceDE w:val="0"/>
        <w:widowControl/>
        <w:spacing w:line="252" w:lineRule="exact" w:before="208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2. Identifying critical minerals in the OECD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00600" cy="28409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4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6" w:lineRule="exact" w:before="216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2.2.1 Supply risk </w:t>
      </w:r>
    </w:p>
    <w:p>
      <w:pPr>
        <w:autoSpaceDN w:val="0"/>
        <w:tabs>
          <w:tab w:pos="442" w:val="left"/>
        </w:tabs>
        <w:autoSpaceDE w:val="0"/>
        <w:widowControl/>
        <w:spacing w:line="252" w:lineRule="exact" w:before="23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Following the European Commission (2014) study, supply risk is quantified on the basis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following formula: </w:t>
      </w:r>
    </w:p>
    <w:p>
      <w:pPr>
        <w:autoSpaceDN w:val="0"/>
        <w:autoSpaceDE w:val="0"/>
        <w:widowControl/>
        <w:spacing w:line="290" w:lineRule="exact" w:before="63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13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300" w:lineRule="exact" w:before="486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(1)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𝑆𝑆𝑆𝑆𝑆𝑆𝑆𝑆𝑆𝑆𝑆𝑆 𝑅𝑅𝑅𝑅𝑅𝑅𝑅𝑅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= 𝜎𝜎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(1 −𝜌𝜌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) ∑(𝑆𝑆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𝑖𝑖𝑖𝑖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)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2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𝑃𝑃𝑃𝑃𝑃𝑃𝑃𝑃𝑃𝑃𝑃𝑃𝑃𝑃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𝑐𝑐</w:t>
      </w:r>
    </w:p>
    <w:p>
      <w:pPr>
        <w:autoSpaceDN w:val="0"/>
        <w:tabs>
          <w:tab w:pos="776" w:val="left"/>
          <w:tab w:pos="3638" w:val="left"/>
        </w:tabs>
        <w:autoSpaceDE w:val="0"/>
        <w:widowControl/>
        <w:spacing w:line="256" w:lineRule="exact" w:before="114" w:after="0"/>
        <w:ind w:left="72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where: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i – mineral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s – sector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c – country </w:t>
      </w:r>
      <w:r>
        <w:br/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𝜎𝜎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 – Substitutability = 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∑𝐴𝐴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𝑖𝑖𝑖𝑖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𝜎𝜎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𝑖𝑖𝑖𝑖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, where 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𝐴𝐴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𝑖𝑖𝑖𝑖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 is the share of consumption of mineral I in end-use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sector s </w:t>
      </w:r>
      <w:r>
        <w:br/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𝜌𝜌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 – Recycling rate </w:t>
      </w:r>
      <w:r>
        <w:br/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𝑆𝑆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𝑖𝑖𝑖𝑖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 – Production shares by country </w:t>
      </w:r>
      <w:r>
        <w:br/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𝑃𝑃𝑃𝑃𝑃𝑃𝑃𝑃𝑃𝑃𝑃𝑃𝑃𝑃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𝑐𝑐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 xml:space="preserve"> – Economic and political stability by country </w:t>
      </w:r>
    </w:p>
    <w:p>
      <w:pPr>
        <w:autoSpaceDN w:val="0"/>
        <w:tabs>
          <w:tab w:pos="442" w:val="left"/>
        </w:tabs>
        <w:autoSpaceDE w:val="0"/>
        <w:widowControl/>
        <w:spacing w:line="246" w:lineRule="exact" w:before="25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supply risk index is high if a mineral has few substitutes (a high </w:t>
      </w:r>
      <w:r>
        <w:rPr>
          <w:rFonts w:ascii="CambriaMath" w:hAnsi="CambriaMath" w:eastAsia="CambriaMath"/>
          <w:b w:val="0"/>
          <w:i w:val="0"/>
          <w:color w:val="000000"/>
          <w:sz w:val="22"/>
        </w:rPr>
        <w:t>𝜎𝜎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𝑖𝑖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means that few substitutes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exist), if its rate of recycling is low, and if its production is concentrated in politically unstable countries.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Substitutability and recycling: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two major factors that can mitigate supply risk in the framework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introduced above are substitutability and recycling. The existence of substitutes reduces suppliers’ market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power, while high recycling rates create an alternative source of supply.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Both substitutability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depend heavily on R&amp;D, which can be strongly influenced by policy-makers. </w:t>
      </w:r>
    </w:p>
    <w:p>
      <w:pPr>
        <w:autoSpaceDN w:val="0"/>
        <w:autoSpaceDE w:val="0"/>
        <w:widowControl/>
        <w:spacing w:line="252" w:lineRule="exact" w:before="24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rates are defined as the ‘End-of-life Recycling Input Rate’. This is a measure of “the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proportion of metal and metal products that are produced from End-of-Life scrap and other metal-bearing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low grade residues worldwide” (European Commission, 2014).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The substitutability index is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expert judgment, with values taken from European Commission (2014). In that study, substitutes are not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explicitly identified for each material. </w:t>
      </w:r>
    </w:p>
    <w:p>
      <w:pPr>
        <w:autoSpaceDN w:val="0"/>
        <w:autoSpaceDE w:val="0"/>
        <w:widowControl/>
        <w:spacing w:line="254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attempting to project the set of critical minerals in 2030, the substitutability and recycling rates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all minerals are held constant at current levels. This assumption is very unlikely to hold as a description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economic baseline, but it allows for an important policy question to be explored: by separating out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impact of baseline changes in exogenous production and political-risk factors, which might be seen to be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reasonably outside the control of OECD resources policies, “necessary” rates of substitutability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can be identified in order to make critical minerals less critical. These “necessary” rates are thus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not predicted values; instead they serve as targets for policies aiming at mitigating criticality (coming from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high supply risk).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Production shares by country: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supply-risk index of this report accounts for the concentration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production/reserves by incorporating a modified Herfindahl-Hirschman index for each mineral.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Herfindahl-Hirschman index is traditionally used as a measure of the size of firms with respect to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industry they belong to. Here we consider countries rather than firms. </w:t>
      </w:r>
    </w:p>
    <w:p>
      <w:pPr>
        <w:autoSpaceDN w:val="0"/>
        <w:autoSpaceDE w:val="0"/>
        <w:widowControl/>
        <w:spacing w:line="252" w:lineRule="exact" w:before="242" w:after="258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global distribution of economically exploitable mineral deposits (reserves) is highly asymmetric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due to the lack of homogeneity of geological structures in the Earth’s crust. These natural differences mean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that production is often concentrated, which in turn can lead to strategic limitations to trade, creating large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 uncertainties. China, for instance, accounts for 91% of REE production, 84% of tungsten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 and South Africa represents 73% of platinum production (USGS, 2014). Table 2 presents 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extended list of minerals, where production is highly concentrated.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73"/>
        <w:gridCol w:w="4773"/>
      </w:tblGrid>
      <w:tr>
        <w:trPr>
          <w:trHeight w:hRule="exact" w:val="1216"/>
        </w:trPr>
        <w:tc>
          <w:tcPr>
            <w:tcW w:type="dxa" w:w="45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0" w:right="2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908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80" w:after="0"/>
              <w:ind w:left="4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It should be noted, however, that attention must be given to the criticality of substitutes. </w:t>
            </w:r>
          </w:p>
          <w:p>
            <w:pPr>
              <w:autoSpaceDN w:val="0"/>
              <w:autoSpaceDE w:val="0"/>
              <w:widowControl/>
              <w:spacing w:line="230" w:lineRule="exact" w:before="120" w:after="0"/>
              <w:ind w:left="400" w:right="1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As Graedel et al. (2011) discuss, the calculation of EOL-RIRs is difficult at the country level due to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lack of information about the recycled content of imported produced metals. This measure is also known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“Recycled Content”. </w:t>
            </w:r>
          </w:p>
        </w:tc>
      </w:tr>
    </w:tbl>
    <w:p>
      <w:pPr>
        <w:autoSpaceDN w:val="0"/>
        <w:autoSpaceDE w:val="0"/>
        <w:widowControl/>
        <w:spacing w:line="290" w:lineRule="exact" w:before="3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14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216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Table 2. Minerals with a high concentration of production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5.99999999999994" w:type="dxa"/>
      </w:tblPr>
      <w:tblGrid>
        <w:gridCol w:w="9544"/>
      </w:tblGrid>
      <w:tr>
        <w:trPr>
          <w:trHeight w:hRule="exact" w:val="416"/>
        </w:trPr>
        <w:tc>
          <w:tcPr>
            <w:tcW w:type="dxa" w:w="8898"/>
            <w:tcBorders>
              <w:start w:sz="8.0" w:val="single" w:color="#7A9FCD"/>
              <w:top w:sz="7.2000000000000455" w:val="single" w:color="#7A9FCD"/>
              <w:end w:sz="7.199999999999818" w:val="single" w:color="#7A9FCD"/>
              <w:bottom w:sz="8.0" w:val="single" w:color="#7A9FCD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06" w:val="left"/>
              </w:tabs>
              <w:autoSpaceDE w:val="0"/>
              <w:widowControl/>
              <w:spacing w:line="276" w:lineRule="auto" w:before="64" w:after="0"/>
              <w:ind w:left="175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Mineral </w:t>
            </w:r>
            <w:r>
              <w:tab/>
            </w: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Country </w:t>
            </w:r>
          </w:p>
        </w:tc>
      </w:tr>
      <w:tr>
        <w:trPr>
          <w:trHeight w:hRule="exact" w:val="412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7.2000000000000455" w:val="single" w:color="#7A9FCD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6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/>
                <w:color w:val="000000"/>
                <w:sz w:val="20"/>
              </w:rPr>
              <w:t xml:space="preserve">More than 90% of production is concentrated in one country </w:t>
            </w:r>
          </w:p>
        </w:tc>
      </w:tr>
      <w:tr>
        <w:trPr>
          <w:trHeight w:hRule="exact" w:val="416"/>
        </w:trPr>
        <w:tc>
          <w:tcPr>
            <w:tcW w:type="dxa" w:w="8898"/>
            <w:tcBorders>
              <w:start w:sz="8.0" w:val="single" w:color="#7A9FCD"/>
              <w:top w:sz="7.2000000000000455" w:val="single" w:color="#7A9FCD"/>
              <w:end w:sz="7.199999999999818" w:val="single" w:color="#7A9FCD"/>
              <w:bottom w:sz="8.0" w:val="single" w:color="#7A9FC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34" w:val="left"/>
              </w:tabs>
              <w:autoSpaceDE w:val="0"/>
              <w:widowControl/>
              <w:spacing w:line="206" w:lineRule="auto" w:before="114" w:after="0"/>
              <w:ind w:left="122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Rare Earth Elements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China </w:t>
            </w:r>
          </w:p>
        </w:tc>
      </w:tr>
      <w:tr>
        <w:trPr>
          <w:trHeight w:hRule="exact" w:val="414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7.2000000000000455" w:val="single" w:color="#7A9FCD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6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/>
                <w:color w:val="000000"/>
                <w:sz w:val="20"/>
              </w:rPr>
              <w:t xml:space="preserve">80%-90% is concentrated in one country </w:t>
            </w:r>
          </w:p>
        </w:tc>
      </w:tr>
      <w:tr>
        <w:trPr>
          <w:trHeight w:hRule="exact" w:val="414"/>
        </w:trPr>
        <w:tc>
          <w:tcPr>
            <w:tcW w:type="dxa" w:w="8898"/>
            <w:tcBorders>
              <w:start w:sz="8.0" w:val="single" w:color="#7A9FCD"/>
              <w:top w:sz="7.2000000000000455" w:val="single" w:color="#7A9FCD"/>
              <w:end w:sz="7.199999999999818" w:val="single" w:color="#7A9FCD"/>
              <w:bottom w:sz="8.0" w:val="single" w:color="#7A9FC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34" w:val="left"/>
              </w:tabs>
              <w:autoSpaceDE w:val="0"/>
              <w:widowControl/>
              <w:spacing w:line="206" w:lineRule="auto" w:before="112" w:after="0"/>
              <w:ind w:left="168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Antimony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China </w:t>
            </w:r>
          </w:p>
        </w:tc>
      </w:tr>
      <w:tr>
        <w:trPr>
          <w:trHeight w:hRule="exact" w:val="416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7.2000000000000455" w:val="single" w:color="#7A9FCD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02" w:val="left"/>
              </w:tabs>
              <w:autoSpaceDE w:val="0"/>
              <w:widowControl/>
              <w:spacing w:line="206" w:lineRule="auto" w:before="114" w:after="0"/>
              <w:ind w:left="168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Beryllium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USA </w:t>
            </w:r>
          </w:p>
        </w:tc>
      </w:tr>
      <w:tr>
        <w:trPr>
          <w:trHeight w:hRule="exact" w:val="414"/>
        </w:trPr>
        <w:tc>
          <w:tcPr>
            <w:tcW w:type="dxa" w:w="8898"/>
            <w:tcBorders>
              <w:start w:sz="8.0" w:val="single" w:color="#7A9FCD"/>
              <w:top w:sz="7.2000000000000455" w:val="single" w:color="#7A9FCD"/>
              <w:end w:sz="7.199999999999818" w:val="single" w:color="#7A9FCD"/>
              <w:bottom w:sz="8.0" w:val="single" w:color="#7A9FC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34" w:val="left"/>
              </w:tabs>
              <w:autoSpaceDE w:val="0"/>
              <w:widowControl/>
              <w:spacing w:line="206" w:lineRule="auto" w:before="110" w:after="0"/>
              <w:ind w:left="160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Germanium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China </w:t>
            </w:r>
          </w:p>
        </w:tc>
      </w:tr>
      <w:tr>
        <w:trPr>
          <w:trHeight w:hRule="exact" w:val="414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7.199999999999818" w:val="single" w:color="#7A9FCD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34" w:val="left"/>
              </w:tabs>
              <w:autoSpaceDE w:val="0"/>
              <w:widowControl/>
              <w:spacing w:line="206" w:lineRule="auto" w:before="112" w:after="0"/>
              <w:ind w:left="161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Magnesium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China </w:t>
            </w:r>
          </w:p>
        </w:tc>
      </w:tr>
      <w:tr>
        <w:trPr>
          <w:trHeight w:hRule="exact" w:val="414"/>
        </w:trPr>
        <w:tc>
          <w:tcPr>
            <w:tcW w:type="dxa" w:w="8898"/>
            <w:tcBorders>
              <w:start w:sz="8.0" w:val="single" w:color="#7A9FCD"/>
              <w:top w:sz="7.199999999999818" w:val="single" w:color="#7A9FCD"/>
              <w:end w:sz="7.199999999999818" w:val="single" w:color="#7A9FCD"/>
              <w:bottom w:sz="8.0" w:val="single" w:color="#7A9FC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34" w:val="left"/>
              </w:tabs>
              <w:autoSpaceDE w:val="0"/>
              <w:widowControl/>
              <w:spacing w:line="204" w:lineRule="auto" w:before="116" w:after="0"/>
              <w:ind w:left="140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Natural graphite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China </w:t>
            </w:r>
          </w:p>
        </w:tc>
      </w:tr>
      <w:tr>
        <w:trPr>
          <w:trHeight w:hRule="exact" w:val="416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8.0" w:val="single" w:color="#7A9FCD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6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/>
                <w:color w:val="000000"/>
                <w:sz w:val="20"/>
              </w:rPr>
              <w:t xml:space="preserve">70%-80% is concentrated in one country </w:t>
            </w:r>
          </w:p>
        </w:tc>
      </w:tr>
      <w:tr>
        <w:trPr>
          <w:trHeight w:hRule="exact" w:val="416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7.199999999999818" w:val="single" w:color="#7A9FC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88" w:val="left"/>
              </w:tabs>
              <w:autoSpaceDE w:val="0"/>
              <w:widowControl/>
              <w:spacing w:line="204" w:lineRule="auto" w:before="112" w:after="0"/>
              <w:ind w:left="177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Lithium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Australia </w:t>
            </w:r>
          </w:p>
        </w:tc>
      </w:tr>
      <w:tr>
        <w:trPr>
          <w:trHeight w:hRule="exact" w:val="412"/>
        </w:trPr>
        <w:tc>
          <w:tcPr>
            <w:tcW w:type="dxa" w:w="8898"/>
            <w:tcBorders>
              <w:start w:sz="8.0" w:val="single" w:color="#7A9FCD"/>
              <w:top w:sz="7.199999999999818" w:val="single" w:color="#7A9FCD"/>
              <w:end w:sz="7.199999999999818" w:val="single" w:color="#7A9FCD"/>
              <w:bottom w:sz="8.0" w:val="single" w:color="#7A9FCD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154" w:val="left"/>
              </w:tabs>
              <w:autoSpaceDE w:val="0"/>
              <w:widowControl/>
              <w:spacing w:line="206" w:lineRule="auto" w:before="110" w:after="0"/>
              <w:ind w:left="191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PGM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South Africa </w:t>
            </w:r>
          </w:p>
        </w:tc>
      </w:tr>
      <w:tr>
        <w:trPr>
          <w:trHeight w:hRule="exact" w:val="414"/>
        </w:trPr>
        <w:tc>
          <w:tcPr>
            <w:tcW w:type="dxa" w:w="8898"/>
            <w:tcBorders>
              <w:start w:sz="8.0" w:val="single" w:color="#7A9FCD"/>
              <w:top w:sz="8.0" w:val="single" w:color="#7A9FCD"/>
              <w:end w:sz="7.199999999999818" w:val="single" w:color="#7A9FCD"/>
              <w:bottom w:sz="7.199999999999818" w:val="single" w:color="#7A9FC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62" w:val="left"/>
              </w:tabs>
              <w:autoSpaceDE w:val="0"/>
              <w:widowControl/>
              <w:spacing w:line="204" w:lineRule="auto" w:before="114" w:after="0"/>
              <w:ind w:left="169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Tantalum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Canada </w:t>
            </w:r>
          </w:p>
        </w:tc>
      </w:tr>
    </w:tbl>
    <w:p>
      <w:pPr>
        <w:autoSpaceDN w:val="0"/>
        <w:autoSpaceDE w:val="0"/>
        <w:widowControl/>
        <w:spacing w:line="214" w:lineRule="exact" w:before="228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Source: USGS, 2014 </w:t>
      </w:r>
    </w:p>
    <w:p>
      <w:pPr>
        <w:autoSpaceDN w:val="0"/>
        <w:autoSpaceDE w:val="0"/>
        <w:widowControl/>
        <w:spacing w:line="254" w:lineRule="exact" w:before="36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particular challenge is to project the global distribution of production of minerals in 2030. The size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reserves is a candidate for quantifying the longer-run availability of a mineral, especially when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compared to the level of current production/consumption. In particular, one possibility is a static lifetime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measure, which identifies how many years of reserves are left given current rates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production/consumption.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Most minerals are abundant on the planet, but technology only allows extraction from the Earth’s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crust. This substantially reduces the total recoverable resources.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Resources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represent the entire physical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quantity of a mineral. They thus include already discovered, estimated stocks, as well as undiscovered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resources.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Reserves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are generally understood as the proven quantity of a resource that is recoverable at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today’s prices with today’s technology and which is legally mineable. The relationship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undiscovered resources, identified resources, and reserves is illustrated in Figure 3. </w:t>
      </w:r>
    </w:p>
    <w:p>
      <w:pPr>
        <w:autoSpaceDN w:val="0"/>
        <w:autoSpaceDE w:val="0"/>
        <w:widowControl/>
        <w:spacing w:line="290" w:lineRule="exact" w:before="365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15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3. Relationship between reserves and resources </w:t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661660" cy="25298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52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exact" w:before="376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widely recognised problem with using reserves and static lifetime measures is, however, that they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can motivate misleading conclusions. Reserves are by definition endogenously determined and therefore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they are not fixed. They can thus grow over time, for example tungsten reserves grew by a factor of one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a half, and REEs by 27%, between 2000 and 2013 (USGS, 2014). Forecasts based on such measures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are as a consequence highly unreliable, as Figure 4 illustrates for copper and nickel.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fact, both reserves and resource estimates are subject to upward revision due to exploration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discoveries. Exploration depends on the expected benefits of discoveries that vary with future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prices, on the probability of finding new deposits (which is negatively correlated with past exploration),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on exploration costs. High minerals prices thus stimulate both exploration and extraction. Discoveries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technical progress in extractive technologies explain why the reserves estimates of most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increased over the course of the last century, despite massive extraction. </w:t>
      </w:r>
    </w:p>
    <w:p>
      <w:pPr>
        <w:autoSpaceDN w:val="0"/>
        <w:autoSpaceDE w:val="0"/>
        <w:widowControl/>
        <w:spacing w:line="290" w:lineRule="exact" w:before="55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16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826769</wp:posOffset>
            </wp:positionH>
            <wp:positionV relativeFrom="page">
              <wp:posOffset>1428750</wp:posOffset>
            </wp:positionV>
            <wp:extent cx="5939789" cy="3877362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89" cy="38773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4. Mine production and static lifetimes predictions for (a) copper and (b) nickel </w:t>
      </w:r>
    </w:p>
    <w:p>
      <w:pPr>
        <w:autoSpaceDN w:val="0"/>
        <w:autoSpaceDE w:val="0"/>
        <w:widowControl/>
        <w:spacing w:line="214" w:lineRule="exact" w:before="516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Source: Critical Metals Handbook (2014) “Metal Resources, Use and Criticality </w:t>
      </w:r>
    </w:p>
    <w:p>
      <w:pPr>
        <w:autoSpaceDN w:val="0"/>
        <w:autoSpaceDE w:val="0"/>
        <w:widowControl/>
        <w:spacing w:line="252" w:lineRule="exact" w:before="36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Complete depletion is currently irrelevant for most minerals (see e.g. Cathles, 2010). As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consequence, existing studies do not put much emphasis on physical availability </w:t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per se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. The EU and UK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studies do not include the measure in their estimates, while the US study concludes that physical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availability is only meaningful in combination with other parameters. </w:t>
      </w:r>
    </w:p>
    <w:p>
      <w:pPr>
        <w:autoSpaceDN w:val="0"/>
        <w:autoSpaceDE w:val="0"/>
        <w:widowControl/>
        <w:spacing w:line="252" w:lineRule="exact" w:before="242" w:after="178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Given all of this, the report takes two different approaches to projecting production shares by country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2030. First, it uses the distribution of reserves instead of the distribution of production, on the grounds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that, in the longer run, production-related supply risks can be predicted by the current distribution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reserves. However, since using reserve measures in isolation can be a misleading indicator of resource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scarcity as just discussed, the report augments formula (1) with the current production/reserves ratio: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3182"/>
        <w:gridCol w:w="3182"/>
        <w:gridCol w:w="3182"/>
      </w:tblGrid>
      <w:tr>
        <w:trPr>
          <w:trHeight w:hRule="exact" w:val="550"/>
        </w:trPr>
        <w:tc>
          <w:tcPr>
            <w:tcW w:type="dxa" w:w="4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96" w:after="0"/>
              <w:ind w:left="19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(2)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𝑆𝑆𝑆𝑆𝑆𝑆𝑆𝑆𝑆𝑆𝑆𝑆 𝑅𝑅𝑅𝑅𝑅𝑅𝑅𝑅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= 𝜎𝜎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(1 −𝜌𝜌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) ∑(𝑆𝑆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𝑃𝑃𝑃𝑃𝑃𝑃𝑃𝑃𝑃𝑃𝑃𝑃𝑃𝑃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𝑐𝑐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" w:lineRule="auto" w:before="142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(50 ∗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0" w:val="left"/>
              </w:tabs>
              <w:autoSpaceDE w:val="0"/>
              <w:widowControl/>
              <w:spacing w:line="245" w:lineRule="auto" w:before="60" w:after="0"/>
              <w:ind w:left="40" w:right="1296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𝑃𝑃𝑃𝑃𝑃𝑃𝑃𝑃𝑃𝑃𝑃𝑃𝑃𝑃𝑃𝑃𝑃𝑃𝑃𝑃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3"/>
              </w:rPr>
              <w:t>𝑖𝑖</w:t>
            </w:r>
            <w:r>
              <w:br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𝑅𝑅𝑅𝑅𝑅𝑅𝑅𝑅𝑅𝑅𝑅𝑅𝑅𝑅𝑅𝑅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3"/>
              </w:rPr>
              <w:t>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1/2</w:t>
            </w:r>
          </w:p>
        </w:tc>
      </w:tr>
    </w:tbl>
    <w:p>
      <w:pPr>
        <w:autoSpaceDN w:val="0"/>
        <w:autoSpaceDE w:val="0"/>
        <w:widowControl/>
        <w:spacing w:line="254" w:lineRule="exact" w:before="178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approach assumes that countries continue to produce the same share of their reserves, meaning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that the distribution of production gradually converges towards the distribution of reserves as resources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depleted. This specific functional form was chosen in order to keep results comparable to the original index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values. The added multiplying factor thus ensures that the index remains unchanged if the production-to-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reserves ratio equals 1/50, implying that existing reserves are enough to satisfy the current rate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 rate for exactly 50 more years. Minerals with less than 50 years of reserves will, in other words,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 given a relatively higher supply risk value and vice versa. </w:t>
      </w:r>
    </w:p>
    <w:p>
      <w:pPr>
        <w:autoSpaceDN w:val="0"/>
        <w:autoSpaceDE w:val="0"/>
        <w:widowControl/>
        <w:spacing w:line="254" w:lineRule="exact" w:before="240" w:after="0"/>
        <w:ind w:left="0" w:right="20" w:firstLine="442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Economic and political stability: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recent years, production of minerals and the concentration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remaining reserves have shifted from Europe and the United States to emerging and developing economies.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trend can be explained by the increasing minerals requirements of emerging economies, as well as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depletion of competitive resource deposits in countries that industrialised first. But some developing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economies are less politically stable than their industrialised counterparts. This shift in production has </w:t>
      </w:r>
    </w:p>
    <w:p>
      <w:pPr>
        <w:autoSpaceDN w:val="0"/>
        <w:autoSpaceDE w:val="0"/>
        <w:widowControl/>
        <w:spacing w:line="290" w:lineRule="exact" w:before="66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17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therefore meant that the political stability of producer countries has become an important parameter when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quantifying the supply security of minerals. </w:t>
      </w:r>
    </w:p>
    <w:p>
      <w:pPr>
        <w:autoSpaceDN w:val="0"/>
        <w:autoSpaceDE w:val="0"/>
        <w:widowControl/>
        <w:spacing w:line="290" w:lineRule="exact" w:before="202" w:after="0"/>
        <w:ind w:left="4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Three different indices are being used to measure political stability and limits to minerals trade: </w:t>
      </w:r>
    </w:p>
    <w:p>
      <w:pPr>
        <w:autoSpaceDN w:val="0"/>
        <w:tabs>
          <w:tab w:pos="578" w:val="left"/>
        </w:tabs>
        <w:autoSpaceDE w:val="0"/>
        <w:widowControl/>
        <w:spacing w:line="318" w:lineRule="exact" w:before="17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World Government Indicators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(WGI, 2014): this source, which is used for the main results 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Section 3, includes indicators on: voice and accountability; political stability; government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effectiveness; regulatory quality; rule of law, and; control of corruption. Data are from the World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Bank. </w:t>
      </w:r>
    </w:p>
    <w:p>
      <w:pPr>
        <w:autoSpaceDN w:val="0"/>
        <w:tabs>
          <w:tab w:pos="578" w:val="left"/>
          <w:tab w:pos="580" w:val="left"/>
        </w:tabs>
        <w:autoSpaceDE w:val="0"/>
        <w:widowControl/>
        <w:spacing w:line="31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2. </w:t>
      </w:r>
      <w:r>
        <w:tab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Political Risk Services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(PRS, 2014) from the International Country Risk Guide (ICRG): the ICRG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offers an index on government stability. This index, which is introduced when carrying out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robustness checks in Section 4, is based on expert assessments of both the government’s ability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carry out its declared program, and its ability to stay in office. </w:t>
      </w:r>
    </w:p>
    <w:p>
      <w:pPr>
        <w:autoSpaceDN w:val="0"/>
        <w:tabs>
          <w:tab w:pos="578" w:val="left"/>
          <w:tab w:pos="580" w:val="left"/>
        </w:tabs>
        <w:autoSpaceDE w:val="0"/>
        <w:widowControl/>
        <w:spacing w:line="31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3.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t>The Open Market Index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(OMI, 2014): this measures openness to trade and consists of the following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subcomponents: trade openness; trade policy; Foreign Direct Investment (FDI) openness, and; trade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enabling infrastructure. The International Chamber of Commerce (ICC) provides the data. Again,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measure isused in performing robustness checks in Section 4. </w:t>
      </w:r>
    </w:p>
    <w:p>
      <w:pPr>
        <w:autoSpaceDN w:val="0"/>
        <w:autoSpaceDE w:val="0"/>
        <w:widowControl/>
        <w:spacing w:line="296" w:lineRule="exact" w:before="266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2.2.2 Economic importance </w:t>
      </w:r>
    </w:p>
    <w:p>
      <w:pPr>
        <w:autoSpaceDN w:val="0"/>
        <w:tabs>
          <w:tab w:pos="442" w:val="left"/>
        </w:tabs>
        <w:autoSpaceDE w:val="0"/>
        <w:widowControl/>
        <w:spacing w:line="256" w:lineRule="exact" w:before="230" w:after="164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Again taking the European Commission (2014) study as the starting point, the economic importance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minerals is defined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9546"/>
      </w:tblGrid>
      <w:tr>
        <w:trPr>
          <w:trHeight w:hRule="exact" w:val="1824"/>
        </w:trPr>
        <w:tc>
          <w:tcPr>
            <w:tcW w:type="dxa" w:w="7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4" w:val="left"/>
                <w:tab w:pos="3204" w:val="left"/>
                <w:tab w:pos="3478" w:val="left"/>
              </w:tabs>
              <w:autoSpaceDE w:val="0"/>
              <w:widowControl/>
              <w:spacing w:line="244" w:lineRule="exact" w:before="0" w:after="0"/>
              <w:ind w:left="190" w:right="3456" w:firstLine="0"/>
              <w:jc w:val="left"/>
            </w:pPr>
            <w:r>
              <w:tab/>
            </w:r>
            <w:r>
              <w:tab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 xml:space="preserve">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(3)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𝐸𝐸𝐸𝐸𝐸𝐸𝐸𝐸𝐸𝐸𝐸𝐸𝐸𝐸𝐸𝐸 𝐼𝐼𝐼𝐼𝐼𝐼𝐼𝐼𝐼𝐼𝐼𝐼𝐼𝐼𝐼𝐼𝐼𝐼𝐼𝐼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∑𝑄𝑄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3"/>
              </w:rPr>
              <w:t>𝑠𝑠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∑𝐴𝐴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𝑖𝑖𝑖𝑖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𝑄𝑄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𝑠𝑠</w:t>
            </w:r>
          </w:p>
          <w:p>
            <w:pPr>
              <w:autoSpaceDN w:val="0"/>
              <w:autoSpaceDE w:val="0"/>
              <w:widowControl/>
              <w:spacing w:line="258" w:lineRule="exact" w:before="34" w:after="0"/>
              <w:ind w:left="550" w:right="1584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where: </w:t>
            </w:r>
            <w:r>
              <w:br/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i – mineral </w:t>
            </w:r>
            <w:r>
              <w:br/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s – sector </w:t>
            </w:r>
            <w:r>
              <w:br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𝑄𝑄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𝑠𝑠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 - Gross value added (GVA) of sector s </w:t>
            </w:r>
            <w:r>
              <w:br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2"/>
              </w:rPr>
              <w:t>𝐴𝐴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𝑖𝑖𝑖𝑖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 - The share of consumption of mineral i in end–use sector s </w:t>
            </w:r>
          </w:p>
        </w:tc>
      </w:tr>
    </w:tbl>
    <w:p>
      <w:pPr>
        <w:autoSpaceDN w:val="0"/>
        <w:tabs>
          <w:tab w:pos="442" w:val="left"/>
        </w:tabs>
        <w:autoSpaceDE w:val="0"/>
        <w:widowControl/>
        <w:spacing w:line="254" w:lineRule="exact" w:before="42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 mineral that is used heavily in a sector that constitutes a large part of the economy will thus have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relatively high economic importance index value.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is important to note that this methodology does not directly capture the value added by specific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and the economic importance index should therefore be interpreted with caution. A mineral can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thus in practice be very important for a sector’s output, despite the sector only accounting for a relatively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small share of the total quantity consumed. </w:t>
      </w:r>
    </w:p>
    <w:p>
      <w:pPr>
        <w:autoSpaceDN w:val="0"/>
        <w:autoSpaceDE w:val="0"/>
        <w:widowControl/>
        <w:spacing w:line="252" w:lineRule="exact" w:before="24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make the economic importance measure dynamic, the report uses OECD modelling of baseline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 growth to 2030, performed with the ENV-LINKAGES computable general equilibrium model,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project structural change and the future sectoral composition of the OECD economies. The relative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of sectors thus changes and this alters the economic importance of minerals. The end-use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breakdown of minerals by sector is assumed fixed at current levels. </w:t>
      </w:r>
    </w:p>
    <w:p>
      <w:pPr>
        <w:autoSpaceDN w:val="0"/>
        <w:autoSpaceDE w:val="0"/>
        <w:widowControl/>
        <w:spacing w:line="290" w:lineRule="exact" w:before="137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18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6" w:lineRule="exact" w:before="446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2.2.3 Long-list of minerals, and data sources </w:t>
      </w:r>
    </w:p>
    <w:p>
      <w:pPr>
        <w:autoSpaceDN w:val="0"/>
        <w:autoSpaceDE w:val="0"/>
        <w:widowControl/>
        <w:spacing w:line="254" w:lineRule="exact" w:before="234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report assesses which of 51 minerals are critical for the OECD countries. The long-list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includes: aluminium, antimony, barytes, bauxite, bentonite, beryllium, borate, chromium, clays,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cobalt, coking coal, copper, diatomite, feldspar, fluorspar, gallium, germanium, gold, gypsum, hafnium,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indium, iron ore, limestone, lithium, magnesite, magnesium, manganese, molybdenum, natural graphite,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nickel, niobium, perlite, PGMs, phosphate rock, potash, REE (heavy), REE (light), rhenium, scandium,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selenium, silica sand, silicon metal, silver, talc, tantalum, tellurium, tin, titanium, tungsten, vanadium,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zinc. </w:t>
      </w:r>
    </w:p>
    <w:p>
      <w:pPr>
        <w:autoSpaceDN w:val="0"/>
        <w:autoSpaceDE w:val="0"/>
        <w:widowControl/>
        <w:spacing w:line="254" w:lineRule="exact" w:before="238" w:after="0"/>
        <w:ind w:left="2" w:right="20" w:firstLine="4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Following the US study (National Research Council of the National Academies, 2008) and the EU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studies (European Commission, 2010; 2014), some elements are grouped together into the Platinum Group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Metals (PGMs), and some into the Rare Earth Elements (REE). PGMs include iridium, osmium, palladium,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platinum, rhodium and ruthenium. The REE group is divided into three groups: heavy rare earth elements,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light rare earth elements and scandium, following again the EU reports. The heavy rare earth elements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europium, gadolinium, terbium, dysprosium, erbium, yttrium, holmium, thulium, ytterbium, and lutetium.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light rare Earth elements are lanthanum, cerium, praseodymium, neodymium and samarium. While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similar properties and/or market characteristics may justify this grouping in part, a more careful analysis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would require analysing each element separately, to take account of the different levels of criticality within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these groups. Disaggregating the PGM and REE groups would require specific data for each element that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not currently available. </w:t>
      </w:r>
    </w:p>
    <w:p>
      <w:pPr>
        <w:autoSpaceDN w:val="0"/>
        <w:autoSpaceDE w:val="0"/>
        <w:widowControl/>
        <w:spacing w:line="290" w:lineRule="exact" w:before="202" w:after="0"/>
        <w:ind w:left="4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Data for the analysis are taken from a range of different sources. Table 3 provides an overview. </w:t>
      </w:r>
    </w:p>
    <w:p>
      <w:pPr>
        <w:autoSpaceDN w:val="0"/>
        <w:autoSpaceDE w:val="0"/>
        <w:widowControl/>
        <w:spacing w:line="252" w:lineRule="exact" w:before="654" w:after="216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Table 3. Summary of sources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0.0" w:type="dxa"/>
      </w:tblPr>
      <w:tblGrid>
        <w:gridCol w:w="4773"/>
        <w:gridCol w:w="4773"/>
      </w:tblGrid>
      <w:tr>
        <w:trPr>
          <w:trHeight w:hRule="exact" w:val="426"/>
        </w:trPr>
        <w:tc>
          <w:tcPr>
            <w:tcW w:type="dxa" w:w="34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5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Variable </w:t>
            </w:r>
          </w:p>
        </w:tc>
        <w:tc>
          <w:tcPr>
            <w:tcW w:type="dxa" w:w="5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FFFF"/>
                <w:sz w:val="22"/>
              </w:rPr>
              <w:t xml:space="preserve">Main source(s) </w:t>
            </w:r>
          </w:p>
        </w:tc>
      </w:tr>
      <w:tr>
        <w:trPr>
          <w:trHeight w:hRule="exact" w:val="674"/>
        </w:trPr>
        <w:tc>
          <w:tcPr>
            <w:tcW w:type="dxa" w:w="34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4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Production shares </w:t>
            </w:r>
          </w:p>
        </w:tc>
        <w:tc>
          <w:tcPr>
            <w:tcW w:type="dxa" w:w="5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94" w:after="0"/>
              <w:ind w:left="104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USGS (2014), WMD (2014), European Commission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(2014)</w:t>
            </w:r>
          </w:p>
        </w:tc>
      </w:tr>
      <w:tr>
        <w:trPr>
          <w:trHeight w:hRule="exact" w:val="420"/>
        </w:trPr>
        <w:tc>
          <w:tcPr>
            <w:tcW w:type="dxa" w:w="34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2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Reserves </w:t>
            </w:r>
          </w:p>
        </w:tc>
        <w:tc>
          <w:tcPr>
            <w:tcW w:type="dxa" w:w="5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USGS (2014), BGS (2014)</w:t>
            </w:r>
          </w:p>
        </w:tc>
      </w:tr>
      <w:tr>
        <w:trPr>
          <w:trHeight w:hRule="exact" w:val="426"/>
        </w:trPr>
        <w:tc>
          <w:tcPr>
            <w:tcW w:type="dxa" w:w="340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58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End-use sector* </w:t>
            </w:r>
          </w:p>
        </w:tc>
        <w:tc>
          <w:tcPr>
            <w:tcW w:type="dxa" w:w="524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European Commission (2010, 2014)</w:t>
            </w:r>
          </w:p>
        </w:tc>
      </w:tr>
      <w:tr>
        <w:trPr>
          <w:trHeight w:hRule="exact" w:val="422"/>
        </w:trPr>
        <w:tc>
          <w:tcPr>
            <w:tcW w:type="dxa" w:w="340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6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Gross value added** </w:t>
            </w:r>
          </w:p>
        </w:tc>
        <w:tc>
          <w:tcPr>
            <w:tcW w:type="dxa" w:w="524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0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OECD</w:t>
            </w:r>
          </w:p>
        </w:tc>
      </w:tr>
      <w:tr>
        <w:trPr>
          <w:trHeight w:hRule="exact" w:val="422"/>
        </w:trPr>
        <w:tc>
          <w:tcPr>
            <w:tcW w:type="dxa" w:w="34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Substitutability and recycling rates </w:t>
            </w:r>
          </w:p>
        </w:tc>
        <w:tc>
          <w:tcPr>
            <w:tcW w:type="dxa" w:w="5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European Commission (2010, 2014)</w:t>
            </w:r>
          </w:p>
        </w:tc>
      </w:tr>
      <w:tr>
        <w:trPr>
          <w:trHeight w:hRule="exact" w:val="426"/>
        </w:trPr>
        <w:tc>
          <w:tcPr>
            <w:tcW w:type="dxa" w:w="34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4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2"/>
              </w:rPr>
              <w:t xml:space="preserve">Political stability </w:t>
            </w:r>
          </w:p>
        </w:tc>
        <w:tc>
          <w:tcPr>
            <w:tcW w:type="dxa" w:w="5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WGI (by WB, 2014), PRS (2014), OMI (by ICC, 2014)</w:t>
            </w:r>
          </w:p>
        </w:tc>
      </w:tr>
    </w:tbl>
    <w:p>
      <w:pPr>
        <w:autoSpaceDN w:val="0"/>
        <w:autoSpaceDE w:val="0"/>
        <w:widowControl/>
        <w:spacing w:line="182" w:lineRule="exact" w:before="258" w:after="0"/>
        <w:ind w:left="0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* To identify the end-use sectors of minerals, the authors relied on data compiled for the European Commission (2014) report.  This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dataset is originally based on data from the USGS. </w:t>
      </w:r>
    </w:p>
    <w:p>
      <w:pPr>
        <w:autoSpaceDN w:val="0"/>
        <w:autoSpaceDE w:val="0"/>
        <w:widowControl/>
        <w:spacing w:line="186" w:lineRule="exact" w:before="118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** Information on the gross value added of sectors, current and predicted, is based on data provided by the OECD. This dataset is on </w:t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country level and is GTAP-coded.- </w:t>
      </w:r>
    </w:p>
    <w:p>
      <w:pPr>
        <w:autoSpaceDN w:val="0"/>
        <w:autoSpaceDE w:val="0"/>
        <w:widowControl/>
        <w:spacing w:line="290" w:lineRule="exact" w:before="208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19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3. RESULTS </w:t>
      </w:r>
    </w:p>
    <w:p>
      <w:pPr>
        <w:autoSpaceDN w:val="0"/>
        <w:autoSpaceDE w:val="0"/>
        <w:widowControl/>
        <w:spacing w:line="254" w:lineRule="exact" w:before="474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section presents the results of the analysis. First, estimates of the set of critical minerals today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introduced, using the most up-to-date data (for 2012). These are built-up from estimates of supply risk,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which are then united with estimates of economic importance to obtain an overall mapping of criticality.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serves as a benchmark for presenting changes in the set of critical minerals that are projected to occur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between now and 2030. The section concludes with a series of policy thought-experiments concerning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what recycling and substitutability changes would be needed to make critical minerals non-critical, today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in the future. </w:t>
      </w:r>
    </w:p>
    <w:p>
      <w:pPr>
        <w:autoSpaceDN w:val="0"/>
        <w:autoSpaceDE w:val="0"/>
        <w:widowControl/>
        <w:spacing w:line="294" w:lineRule="exact" w:before="2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3.1 Critical minerals in OECD countries today </w:t>
      </w:r>
    </w:p>
    <w:p>
      <w:pPr>
        <w:autoSpaceDN w:val="0"/>
        <w:autoSpaceDE w:val="0"/>
        <w:widowControl/>
        <w:spacing w:line="296" w:lineRule="exact" w:before="1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3.1.1 Supply risk today </w:t>
      </w:r>
    </w:p>
    <w:p>
      <w:pPr>
        <w:autoSpaceDN w:val="0"/>
        <w:autoSpaceDE w:val="0"/>
        <w:widowControl/>
        <w:spacing w:line="254" w:lineRule="exact" w:before="234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analysis begins with the index of supply risk, described above in Equation (1). Table 4 identifies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ten minerals in the set of 51 with the highest value on the supply-risk index, and compares these with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some characteristics of the whole set of minerals. Supply risk data for each of the 51 minerals are listed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Appendix 1. </w:t>
      </w:r>
    </w:p>
    <w:p>
      <w:pPr>
        <w:autoSpaceDN w:val="0"/>
        <w:autoSpaceDE w:val="0"/>
        <w:widowControl/>
        <w:spacing w:line="252" w:lineRule="exact" w:before="204" w:after="216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Table 4. The top ten minerals in terms of supply risk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909"/>
        <w:gridCol w:w="1909"/>
        <w:gridCol w:w="1909"/>
        <w:gridCol w:w="1909"/>
        <w:gridCol w:w="1909"/>
      </w:tblGrid>
      <w:tr>
        <w:trPr>
          <w:trHeight w:hRule="exact" w:val="370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FFFF"/>
                <w:sz w:val="21"/>
              </w:rPr>
              <w:t xml:space="preserve">Mineral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FFFF"/>
                <w:sz w:val="21"/>
              </w:rPr>
              <w:t xml:space="preserve">Supply risk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3.200000000000273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FFFF"/>
                <w:sz w:val="21"/>
              </w:rPr>
              <w:t xml:space="preserve">Recycling rate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FFFF"/>
                <w:sz w:val="21"/>
              </w:rPr>
              <w:t xml:space="preserve">Substitutability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FFFF"/>
                <w:sz w:val="21"/>
              </w:rPr>
              <w:t xml:space="preserve">Political risk (HHI)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4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1) REE (Heavy)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4.6 </w:t>
            </w:r>
          </w:p>
        </w:tc>
        <w:tc>
          <w:tcPr>
            <w:tcW w:type="dxa" w:w="1560"/>
            <w:tcBorders>
              <w:start w:sz="3.2000000000000455" w:val="single" w:color="#000000"/>
              <w:top w:sz="3.200000000000273" w:val="single" w:color="#000000"/>
              <w:end w:sz="3.200000000000273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0.77 </w:t>
            </w:r>
          </w:p>
        </w:tc>
        <w:tc>
          <w:tcPr>
            <w:tcW w:type="dxa" w:w="212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5.99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2) Germanium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3.6 </w:t>
            </w:r>
          </w:p>
        </w:tc>
        <w:tc>
          <w:tcPr>
            <w:tcW w:type="dxa" w:w="1560"/>
            <w:tcBorders>
              <w:start w:sz="3.2000000000000455" w:val="single" w:color="#000000"/>
              <w:top w:sz="3.199999999999818" w:val="single" w:color="#000000"/>
              <w:end w:sz="3.200000000000273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0.86 </w:t>
            </w:r>
          </w:p>
        </w:tc>
        <w:tc>
          <w:tcPr>
            <w:tcW w:type="dxa" w:w="212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4.20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3) Natural Graphite </w:t>
            </w:r>
          </w:p>
        </w:tc>
        <w:tc>
          <w:tcPr>
            <w:tcW w:type="dxa" w:w="1276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3.2 </w:t>
            </w:r>
          </w:p>
        </w:tc>
        <w:tc>
          <w:tcPr>
            <w:tcW w:type="dxa" w:w="1560"/>
            <w:tcBorders>
              <w:start w:sz="3.2000000000000455" w:val="single" w:color="#000000"/>
              <w:top w:sz="3.200000000000273" w:val="single" w:color="#000000"/>
              <w:end w:sz="3.200000000000273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0.72 </w:t>
            </w:r>
          </w:p>
        </w:tc>
        <w:tc>
          <w:tcPr>
            <w:tcW w:type="dxa" w:w="212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4.50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4) REE (Light)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3.1 </w:t>
            </w:r>
          </w:p>
        </w:tc>
        <w:tc>
          <w:tcPr>
            <w:tcW w:type="dxa" w:w="1560"/>
            <w:tcBorders>
              <w:start w:sz="3.2000000000000455" w:val="single" w:color="#000000"/>
              <w:top w:sz="3.199999999999818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0.67 </w:t>
            </w:r>
          </w:p>
        </w:tc>
        <w:tc>
          <w:tcPr>
            <w:tcW w:type="dxa" w:w="212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4.64 </w:t>
            </w:r>
          </w:p>
        </w:tc>
      </w:tr>
      <w:tr>
        <w:trPr>
          <w:trHeight w:hRule="exact" w:val="368"/>
        </w:trPr>
        <w:tc>
          <w:tcPr>
            <w:tcW w:type="dxa" w:w="21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5) Niobium </w:t>
            </w:r>
          </w:p>
        </w:tc>
        <w:tc>
          <w:tcPr>
            <w:tcW w:type="dxa" w:w="1276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2.6 </w:t>
            </w:r>
          </w:p>
        </w:tc>
        <w:tc>
          <w:tcPr>
            <w:tcW w:type="dxa" w:w="1560"/>
            <w:tcBorders>
              <w:start w:sz="3.2000000000000455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0.11 </w:t>
            </w:r>
          </w:p>
        </w:tc>
        <w:tc>
          <w:tcPr>
            <w:tcW w:type="dxa" w:w="1700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0.69 </w:t>
            </w:r>
          </w:p>
        </w:tc>
        <w:tc>
          <w:tcPr>
            <w:tcW w:type="dxa" w:w="21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4.26 </w:t>
            </w:r>
          </w:p>
        </w:tc>
      </w:tr>
      <w:tr>
        <w:trPr>
          <w:trHeight w:hRule="exact" w:val="374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4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6) Magnesium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2.4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0.14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0.64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4.42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7) Antimony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2.3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0.11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0.62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4.24 </w:t>
            </w:r>
          </w:p>
        </w:tc>
      </w:tr>
      <w:tr>
        <w:trPr>
          <w:trHeight w:hRule="exact" w:val="370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6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8) Cobalt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2.2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0.16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0.71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3.76 </w:t>
            </w:r>
          </w:p>
        </w:tc>
      </w:tr>
      <w:tr>
        <w:trPr>
          <w:trHeight w:hRule="exact" w:val="370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4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9) Fluorspar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2.1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0.80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2.59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4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10) Magnesite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1.9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0.72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2.71 </w:t>
            </w:r>
          </w:p>
        </w:tc>
      </w:tr>
      <w:tr>
        <w:trPr>
          <w:trHeight w:hRule="exact" w:val="374"/>
        </w:trPr>
        <w:tc>
          <w:tcPr>
            <w:tcW w:type="dxa" w:w="8788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1"/>
              </w:rPr>
              <w:t xml:space="preserve">Sample characteristics (all 51 minerals)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4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21"/>
              </w:rPr>
              <w:t xml:space="preserve">Mean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1.1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0.08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0.69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1.77 </w:t>
            </w:r>
          </w:p>
        </w:tc>
      </w:tr>
      <w:tr>
        <w:trPr>
          <w:trHeight w:hRule="exact" w:val="372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4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21"/>
              </w:rPr>
              <w:t xml:space="preserve">25th percentile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0.3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0.59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0.71 </w:t>
            </w:r>
          </w:p>
        </w:tc>
      </w:tr>
      <w:tr>
        <w:trPr>
          <w:trHeight w:hRule="exact" w:val="370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4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21"/>
              </w:rPr>
              <w:t xml:space="preserve">Median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0.9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0.70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1.27 </w:t>
            </w:r>
          </w:p>
        </w:tc>
      </w:tr>
      <w:tr>
        <w:trPr>
          <w:trHeight w:hRule="exact" w:val="370"/>
        </w:trPr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4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21"/>
              </w:rPr>
              <w:t xml:space="preserve">75th percentile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1.6 </w:t>
            </w:r>
          </w:p>
        </w:tc>
        <w:tc>
          <w:tcPr>
            <w:tcW w:type="dxa" w:w="156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0.15 </w:t>
            </w:r>
          </w:p>
        </w:tc>
        <w:tc>
          <w:tcPr>
            <w:tcW w:type="dxa" w:w="17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0.83 </w:t>
            </w:r>
          </w:p>
        </w:tc>
        <w:tc>
          <w:tcPr>
            <w:tcW w:type="dxa" w:w="21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1"/>
              </w:rPr>
              <w:t xml:space="preserve">2.17 </w:t>
            </w:r>
          </w:p>
        </w:tc>
      </w:tr>
    </w:tbl>
    <w:p>
      <w:pPr>
        <w:autoSpaceDN w:val="0"/>
        <w:autoSpaceDE w:val="0"/>
        <w:widowControl/>
        <w:spacing w:line="214" w:lineRule="exact" w:before="268" w:after="0"/>
        <w:ind w:left="34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 high substitutability value means that few substitutes exist. </w:t>
      </w:r>
    </w:p>
    <w:p>
      <w:pPr>
        <w:autoSpaceDN w:val="0"/>
        <w:autoSpaceDE w:val="0"/>
        <w:widowControl/>
        <w:spacing w:line="252" w:lineRule="exact" w:before="612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minerals group with, by some margin, the highest supply risk for OECD countries today is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heavy rare earth elements. Its value on the index is over five times that of the median (iron ore and tin </w:t>
      </w:r>
    </w:p>
    <w:p>
      <w:pPr>
        <w:autoSpaceDN w:val="0"/>
        <w:autoSpaceDE w:val="0"/>
        <w:widowControl/>
        <w:spacing w:line="290" w:lineRule="exact" w:before="35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20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share the median value). The heavy rare earth elements are followed by germanium, natural graphite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light rare earth elements. </w:t>
      </w:r>
    </w:p>
    <w:p>
      <w:pPr>
        <w:autoSpaceDN w:val="0"/>
        <w:tabs>
          <w:tab w:pos="442" w:val="left"/>
        </w:tabs>
        <w:autoSpaceDE w:val="0"/>
        <w:widowControl/>
        <w:spacing w:line="254" w:lineRule="exact" w:before="23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5 plots the 51 minerals on two dimensions: substitutability on the one hand and political risk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 the other hand. Those minerals classified in the top ten for supply risk as per Table 4 are highlighted.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minerals with the highest supply risk correspond closely with a group characterised by high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political risk, at the same time as low substitutability (i.e. a high substitutability index value).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5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This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indicates that the main drivers of supply risk are indeed these two elements of the index, rather than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rates. </w:t>
      </w:r>
    </w:p>
    <w:p>
      <w:pPr>
        <w:autoSpaceDN w:val="0"/>
        <w:autoSpaceDE w:val="0"/>
        <w:widowControl/>
        <w:spacing w:line="250" w:lineRule="exact" w:before="20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5. Minerals as a function of production concentration and substitutability </w:t>
      </w:r>
    </w:p>
    <w:p>
      <w:pPr>
        <w:autoSpaceDN w:val="0"/>
        <w:autoSpaceDE w:val="0"/>
        <w:widowControl/>
        <w:spacing w:line="240" w:lineRule="auto" w:before="216" w:after="0"/>
        <w:ind w:left="5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51450" cy="44183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418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6" w:lineRule="exact" w:before="712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3.1.2 Economic importance and overall criticality today </w:t>
      </w:r>
    </w:p>
    <w:p>
      <w:pPr>
        <w:autoSpaceDN w:val="0"/>
        <w:autoSpaceDE w:val="0"/>
        <w:widowControl/>
        <w:spacing w:line="254" w:lineRule="exact" w:before="234" w:after="198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6 combines estimates of supply risk with estimates of economic importance, to achieve 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overall mapping of minerals criticality in OECD countries today. Recall that the measure of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seeks to identify minerals used heavily in sectors comprising a large share of aggregate OECD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72"/>
        <w:gridCol w:w="4772"/>
      </w:tblGrid>
      <w:tr>
        <w:trPr>
          <w:trHeight w:hRule="exact" w:val="636"/>
        </w:trPr>
        <w:tc>
          <w:tcPr>
            <w:tcW w:type="dxa" w:w="45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908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0" w:after="0"/>
              <w:ind w:left="4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Within the cluster of minerals highlighted as belonging to the top ten in terms of supply risk is tungsten,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which in fact lies just outside the top ten, i.e. twelfth. </w:t>
            </w:r>
          </w:p>
        </w:tc>
      </w:tr>
    </w:tbl>
    <w:p>
      <w:pPr>
        <w:autoSpaceDN w:val="0"/>
        <w:autoSpaceDE w:val="0"/>
        <w:widowControl/>
        <w:spacing w:line="290" w:lineRule="exact" w:before="3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21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output. Minerals located towards the top right of Figure 6 are relatively critical according to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framework.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While the heavy rare earth elements stand out in terms of supply risk, they lie only around the middle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the distribution on the economic importance dimension. It is a similar story for germanium and the light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rare earth elements. Natural graphite is relatively more economically important, but still does not stand out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this regard. </w:t>
      </w:r>
    </w:p>
    <w:p>
      <w:pPr>
        <w:autoSpaceDN w:val="0"/>
        <w:autoSpaceDE w:val="0"/>
        <w:widowControl/>
        <w:spacing w:line="252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By contrast, the most economically important minerals in OECD countries today (i.e. the top ten) are,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descending order: barytes; tungsten; vanadium; coking coal; chromium; zinc; bauxite; nickel; potash,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and; magnesite. But of these, only magnesite lies within the top ten on supply risk.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Some examples of where these economically important minerals are used include barytes of which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over three quarters are used in drilling fluids in oil and gas exploration; tungsten is a metal with a wide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range of uses, the largest of which is as tungsten carbide in cemented carbides, which are wear-resistant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materials used by the metalworking, mining and construction industries; vanadium is used in automobiles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machinery as an alloy. It is also used together with aluminium in jet engines and high-speed airframes.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a framework such as this, the boundary between what is critical and what is non-critical is arbitrary.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visual inspection of the figure, there is an axis of minerals starting with the outliers on supply risk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(most notably the heavy rare earth elements), which swings to the southeast to take in those with high, but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not extremely high, supply risk, but that have extremely high economic importance, such as barytes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tungsten. </w:t>
      </w:r>
    </w:p>
    <w:p>
      <w:pPr>
        <w:autoSpaceDN w:val="0"/>
        <w:autoSpaceDE w:val="0"/>
        <w:widowControl/>
        <w:spacing w:line="252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Another approach to demarcating the set of critical minerals is to make a comparison with previous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work that has set thresholds as such, in particular the previous EU studies that identified as critical those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with an economic importance index value above 0.05 and a supply risk index value above 1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(European Commission, 2010; 2014). Doing so identifies 21 minerals as critical for the OECD 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aggregate today: antimony; barytes; beryllium; borate; chromium; cobalt; fluorspar; gallium; germanium;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indium; magnesite; magnesium; natural graphite; niobium; PGMs; phosphate rock; REE (heavy); REE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(light); silicon metal; tungsten, and; vanadium. </w:t>
      </w:r>
    </w:p>
    <w:p>
      <w:pPr>
        <w:autoSpaceDN w:val="0"/>
        <w:autoSpaceDE w:val="0"/>
        <w:widowControl/>
        <w:spacing w:line="290" w:lineRule="exact" w:before="554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22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6. Critical minerals in OECD countries today </w:t>
      </w:r>
    </w:p>
    <w:p>
      <w:pPr>
        <w:autoSpaceDN w:val="0"/>
        <w:autoSpaceDE w:val="0"/>
        <w:widowControl/>
        <w:spacing w:line="240" w:lineRule="auto" w:before="214" w:after="0"/>
        <w:ind w:left="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04510" cy="45834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583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exact" w:before="750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Most of the analysis is carried out for the OECD economy on aggregate, yet it is clearly important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each OECD country to understand which minerals are critical for it alone. Our measure of supply risk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same for each and all OECD countries (more on this below), but economic importance may differ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across countries and regions depending on the sectoral composition of their economies. While a country-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by-country analysis is beyond the scope of this report, criticality can be compared for three major OECD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countries/regions, namely the US, Japan and the EU. The results of this analysis are presented in Figures 7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9. </w:t>
      </w:r>
    </w:p>
    <w:p>
      <w:pPr>
        <w:autoSpaceDN w:val="0"/>
        <w:autoSpaceDE w:val="0"/>
        <w:widowControl/>
        <w:spacing w:line="252" w:lineRule="exact" w:before="24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 the horizontal axis these figures show economic importance calculated for the entire OECD, while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 the vertical axis they show economic importance for the US, Japan and EU respectively.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above (below) the 45-degree line are more (less) economically important for a given country/region than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the OECD as a whole. </w:t>
      </w:r>
    </w:p>
    <w:p>
      <w:pPr>
        <w:autoSpaceDN w:val="0"/>
        <w:autoSpaceDE w:val="0"/>
        <w:widowControl/>
        <w:spacing w:line="290" w:lineRule="exact" w:before="189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23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7. Economic importance for the USA vs. the OECD as a whole, today </w:t>
      </w:r>
    </w:p>
    <w:p>
      <w:pPr>
        <w:autoSpaceDN w:val="0"/>
        <w:autoSpaceDE w:val="0"/>
        <w:widowControl/>
        <w:spacing w:line="240" w:lineRule="auto" w:before="214" w:after="0"/>
        <w:ind w:left="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04510" cy="45834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583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exact" w:before="75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 Figure 7 shows, there is a close relationship between which minerals are economically important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the OECD as a whole and which are economically important for the US alone. This is explained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large aggregate size of the US economy relative to the rest of the OECD. The clear exception to this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barytes, which is much more economically important for the US than it is for the aggregate OECD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economy, being heavily used in the US’s large, economically important oil-extraction industry. Indeed,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a US perspective barytes is by a long way the most economically important of the 51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analysed, according to the method we use. </w:t>
      </w:r>
    </w:p>
    <w:p>
      <w:pPr>
        <w:autoSpaceDN w:val="0"/>
        <w:autoSpaceDE w:val="0"/>
        <w:widowControl/>
        <w:spacing w:line="290" w:lineRule="exact" w:before="315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24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8. Economic importance for Japan vs. the OECD as a whole, today </w:t>
      </w:r>
    </w:p>
    <w:p>
      <w:pPr>
        <w:autoSpaceDN w:val="0"/>
        <w:autoSpaceDE w:val="0"/>
        <w:widowControl/>
        <w:spacing w:line="240" w:lineRule="auto" w:before="214" w:after="0"/>
        <w:ind w:left="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04510" cy="458343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583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exact" w:before="75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8 shows the difference between economic importance for Japan and for the OECD as a whole.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Barytes is again an outlier, for the same reason; the economic importance of this mineral to the US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dominates the OECD aggregate. Otherwise the remaining 50 minerals are much closer to the 45-degree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line that marks out a perfect correspondence between economic importance in Japan and in the aggregate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OECD, except that a trend emerges, whereby most minerals – all, in fact, except molybdenum and niobium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– are more economically important for Japan than they are for the aggregate OECD. Indeed the difference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grows, the more economically important the mineral is. That is to say, apart from barytes the largest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disparities are for minerals like coking coal and chromium, which are also among the most economically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important minerals to either the OECD or Japan.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complete this set of regional comparisons, Figure 9 plots economic importance today for the EU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versus the OECD. With the by-now familiar exception of barytes, it is clear that there is a particularly close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correspondence between which minerals are economically important in the EU and which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economically important for the aggregate OECD, with most data points close to the 45-degree line. Like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Japan, the majority of minerals are marginally more economically important for the EU than they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the aggregate OECD. This is the converse of what we observe for the US, showing how some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large OECD economies offset each other in the aggregate data. </w:t>
      </w:r>
    </w:p>
    <w:p>
      <w:pPr>
        <w:autoSpaceDN w:val="0"/>
        <w:autoSpaceDE w:val="0"/>
        <w:widowControl/>
        <w:spacing w:line="290" w:lineRule="exact" w:before="63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25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9. Economic importance for the EU vs. the OECD as a whole, today </w:t>
      </w:r>
    </w:p>
    <w:p>
      <w:pPr>
        <w:autoSpaceDN w:val="0"/>
        <w:autoSpaceDE w:val="0"/>
        <w:widowControl/>
        <w:spacing w:line="240" w:lineRule="auto" w:before="214" w:after="0"/>
        <w:ind w:left="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04510" cy="458343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583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exact" w:before="75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Figures 7 to 9 suggest that estimates of which minerals are economically important do vary across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OECD countries according to the structure of their economies and these country/region differences should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 understood by policy-makers and accounted for when evaluating the consequences of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disruptions. Nonetheless only a relatively few major disparities are apparent, most notably barytes.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is important to note, however, that one of the limitations associated with the measure of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is the country-invariant breakdown of minerals by end-use sectors, which may differ across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countries in reality. For example, barytes is extensively used as a weighting agent in oil- and gas-well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drilling fluids and thus is especially important for the mining sector in economies rich in oil. But its share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this sector may be lower in other economies. Following this logic, barytes may be even less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economically important in the EU and Japan than Figures 8 and 9 suggest. </w:t>
      </w:r>
    </w:p>
    <w:p>
      <w:pPr>
        <w:autoSpaceDN w:val="0"/>
        <w:autoSpaceDE w:val="0"/>
        <w:widowControl/>
        <w:spacing w:line="296" w:lineRule="exact" w:before="2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3.1.3 An alternative measure of supply risk today </w:t>
      </w:r>
    </w:p>
    <w:p>
      <w:pPr>
        <w:autoSpaceDN w:val="0"/>
        <w:autoSpaceDE w:val="0"/>
        <w:widowControl/>
        <w:spacing w:line="254" w:lineRule="exact" w:before="232" w:after="0"/>
        <w:ind w:left="0" w:right="24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introduction of a static lifetime measure (production-to-reserves ratio) to the supply risk formula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allows to account for physical constraints to extraction. The ratio of production to reserves varies across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minerals, as Figure 10 shows. Minerals with high values on this ratio will have higher supply risk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according to formula (2). In particular, minerals with a production-to-reserves ratio to the right of the red </w:t>
      </w:r>
    </w:p>
    <w:p>
      <w:pPr>
        <w:autoSpaceDN w:val="0"/>
        <w:autoSpaceDE w:val="0"/>
        <w:widowControl/>
        <w:spacing w:line="290" w:lineRule="exact" w:before="40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26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2019300</wp:posOffset>
            </wp:positionV>
            <wp:extent cx="5626100" cy="37846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84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line can be treated as relatively scarce, as they have less than 50 years of reserves at current levels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production. </w:t>
      </w:r>
    </w:p>
    <w:p>
      <w:pPr>
        <w:autoSpaceDN w:val="0"/>
        <w:tabs>
          <w:tab w:pos="4118" w:val="left"/>
        </w:tabs>
        <w:autoSpaceDE w:val="0"/>
        <w:widowControl/>
        <w:spacing w:line="252" w:lineRule="exact" w:before="204" w:after="0"/>
        <w:ind w:left="29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10. </w:t>
      </w:r>
      <w:r>
        <w:rPr>
          <w:rFonts w:ascii="Arial" w:hAnsi="Arial" w:eastAsia="Arial"/>
          <w:b/>
          <w:i w:val="0"/>
          <w:color w:val="000000"/>
          <w:sz w:val="18"/>
        </w:rPr>
        <w:t xml:space="preserve">Production-to-reserves ratio </w:t>
      </w:r>
    </w:p>
    <w:p>
      <w:pPr>
        <w:autoSpaceDN w:val="0"/>
        <w:tabs>
          <w:tab w:pos="716" w:val="left"/>
          <w:tab w:pos="722" w:val="left"/>
          <w:tab w:pos="796" w:val="left"/>
          <w:tab w:pos="862" w:val="left"/>
          <w:tab w:pos="882" w:val="left"/>
          <w:tab w:pos="900" w:val="left"/>
          <w:tab w:pos="948" w:val="left"/>
          <w:tab w:pos="954" w:val="left"/>
          <w:tab w:pos="960" w:val="left"/>
          <w:tab w:pos="968" w:val="left"/>
          <w:tab w:pos="980" w:val="left"/>
          <w:tab w:pos="1010" w:val="left"/>
          <w:tab w:pos="1028" w:val="left"/>
          <w:tab w:pos="1084" w:val="left"/>
          <w:tab w:pos="1096" w:val="left"/>
          <w:tab w:pos="1102" w:val="left"/>
          <w:tab w:pos="1120" w:val="left"/>
          <w:tab w:pos="1150" w:val="left"/>
          <w:tab w:pos="1158" w:val="left"/>
          <w:tab w:pos="1164" w:val="left"/>
          <w:tab w:pos="1176" w:val="left"/>
          <w:tab w:pos="1224" w:val="left"/>
          <w:tab w:pos="1280" w:val="left"/>
          <w:tab w:pos="1310" w:val="left"/>
          <w:tab w:pos="1396" w:val="left"/>
        </w:tabs>
        <w:autoSpaceDE w:val="0"/>
        <w:widowControl/>
        <w:spacing w:line="162" w:lineRule="exact" w:before="352" w:after="282"/>
        <w:ind w:left="464" w:right="792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Antimony </w:t>
      </w:r>
      <w:r>
        <w:br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Chromium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Zinc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Gold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Silver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Tin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Titanium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Iron ore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Nickel </w:t>
      </w:r>
      <w:r>
        <w:br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Manganese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Fluorspar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Copper </w:t>
      </w:r>
      <w:r>
        <w:br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Molybdenum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Barytes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Borate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Tungsten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Rhenium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Selenium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Cobalt </w:t>
      </w:r>
      <w:r>
        <w:br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Natural Graphite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Niobium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Bauxite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PGMs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Tantalum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Potash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Tellurium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Vanadium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Perlite </w:t>
      </w:r>
      <w:r>
        <w:br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Phosphate Rock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Lithium </w:t>
      </w:r>
      <w:r>
        <w:br/>
      </w:r>
      <w:r>
        <w:tab/>
      </w:r>
      <w:r>
        <w:tab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 xml:space="preserve">Aluminium </w:t>
      </w:r>
      <w:r>
        <w:br/>
      </w:r>
      <w:r>
        <w:tab/>
      </w:r>
      <w:r>
        <w:rPr>
          <w:w w:val="102.41434733072916"/>
          <w:rFonts w:ascii="ArialMT" w:hAnsi="ArialMT" w:eastAsia="ArialMT"/>
          <w:b w:val="0"/>
          <w:i w:val="0"/>
          <w:color w:val="000000"/>
          <w:sz w:val="15"/>
        </w:rPr>
        <w:t>REE (Heavy)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0.0" w:type="dxa"/>
      </w:tblPr>
      <w:tblGrid>
        <w:gridCol w:w="1909"/>
        <w:gridCol w:w="1909"/>
        <w:gridCol w:w="1909"/>
        <w:gridCol w:w="1909"/>
        <w:gridCol w:w="1909"/>
      </w:tblGrid>
      <w:tr>
        <w:trPr>
          <w:trHeight w:hRule="exact" w:val="464"/>
        </w:trPr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60" w:after="0"/>
              <w:ind w:left="0" w:right="6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0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.02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.04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.06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.08</w:t>
            </w:r>
          </w:p>
        </w:tc>
      </w:tr>
    </w:tbl>
    <w:p>
      <w:pPr>
        <w:autoSpaceDN w:val="0"/>
        <w:autoSpaceDE w:val="0"/>
        <w:widowControl/>
        <w:spacing w:line="254" w:lineRule="exact" w:before="15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Where reserves data were available, supply risk was estimated based on equation (2) and the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are presented in Figure 11.  From this figure it can be seen that antimony becomes much more critical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heavy rare earth elements become much less critical from a supply risk perspective, reflecting very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different production-to-reserves ratios. However, otherwise there is not a major difference between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 as estimated by the two approaches. </w:t>
      </w:r>
    </w:p>
    <w:p>
      <w:pPr>
        <w:autoSpaceDN w:val="0"/>
        <w:autoSpaceDE w:val="0"/>
        <w:widowControl/>
        <w:spacing w:line="290" w:lineRule="exact" w:before="466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27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2882" w:val="left"/>
        </w:tabs>
        <w:autoSpaceDE w:val="0"/>
        <w:widowControl/>
        <w:spacing w:line="252" w:lineRule="exact" w:before="450" w:after="0"/>
        <w:ind w:left="1692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11. </w:t>
      </w:r>
      <w:r>
        <w:tab/>
      </w:r>
      <w:r>
        <w:rPr>
          <w:rFonts w:ascii="Arial" w:hAnsi="Arial" w:eastAsia="Arial"/>
          <w:b/>
          <w:i w:val="0"/>
          <w:color w:val="000000"/>
          <w:sz w:val="18"/>
        </w:rPr>
        <w:t xml:space="preserve">Comparing modified supply risk with the original formula </w:t>
      </w:r>
    </w:p>
    <w:p>
      <w:pPr>
        <w:autoSpaceDN w:val="0"/>
        <w:autoSpaceDE w:val="0"/>
        <w:widowControl/>
        <w:spacing w:line="240" w:lineRule="auto" w:before="214" w:after="0"/>
        <w:ind w:left="2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85790" cy="47713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77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4" w:lineRule="exact" w:before="71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3.2 Critical minerals in OECD countries in 2030 </w:t>
      </w:r>
    </w:p>
    <w:p>
      <w:pPr>
        <w:autoSpaceDN w:val="0"/>
        <w:autoSpaceDE w:val="0"/>
        <w:widowControl/>
        <w:spacing w:line="252" w:lineRule="exact" w:before="236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Future criticality of minerals depends on a range of unknowns. Some of these are very difficult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forecast, especially future technologies. This affects both supply risk, through discoveries and expansion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reserves, substitutability and recycling opportunities, and economic importance, through applications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in different sectors, and the weight of different sectors in the whole economy. It is impossible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predict with a high degree of confidence which minerals will be critical in the future. Incorporating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credible dynamics into the criticality assessment can, however, give an indication of possible directions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change based on current information. </w:t>
      </w:r>
    </w:p>
    <w:p>
      <w:pPr>
        <w:autoSpaceDN w:val="0"/>
        <w:autoSpaceDE w:val="0"/>
        <w:widowControl/>
        <w:spacing w:line="296" w:lineRule="exact" w:before="202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3.2.1 Future supply risks </w:t>
      </w:r>
    </w:p>
    <w:p>
      <w:pPr>
        <w:autoSpaceDN w:val="0"/>
        <w:autoSpaceDE w:val="0"/>
        <w:widowControl/>
        <w:spacing w:line="254" w:lineRule="exact" w:before="23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Political risk and the distribution of minerals production are important factors determining supply risk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consequently the set of critical minerals. Future changes in political risk are difficult to predict, so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purposes of this report current risk estimates are assumed to apply up until 2030. Thus it is assumed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that currently relatively unstable countries will remain so. </w:t>
      </w:r>
    </w:p>
    <w:p>
      <w:pPr>
        <w:autoSpaceDN w:val="0"/>
        <w:autoSpaceDE w:val="0"/>
        <w:widowControl/>
        <w:spacing w:line="290" w:lineRule="exact" w:before="60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28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Attention therefore turns to predicting the future distribution of production. To capture the range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potential outcomes, three scenarios are proposed. First, as a baseline scenario production shares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assumed to remain constant, in which case supply risk estimates will not change. Second, as discussed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Section 2, the distribution of production is assumed to converge gradually towards the distribution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reserves as they are depleted. In practice it is assumed that countries continue to produce the same share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their reserves every year up to 2030. This naturally motivates a gradual shift of production towards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reserve-rich countries as deposits are reduced. </w:t>
      </w:r>
    </w:p>
    <w:p>
      <w:pPr>
        <w:autoSpaceDN w:val="0"/>
        <w:autoSpaceDE w:val="0"/>
        <w:widowControl/>
        <w:spacing w:line="252" w:lineRule="exact" w:before="24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Conducting this exercise for the minerals with available and reliable reserves data yields the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presented in Figure 12 Supply risk in 2030 using the current distribution of production is on the horizontal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axis – i.e. current supply risk – while supply risk in 2030 using the production-to-reserves ratio method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 the vertical axis.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Barytes, borate and molybdenum see the greatest increase in supply risk. For both borate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molybdenum, production is predicted to move to China, which is associated with a relatively higher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political risk according to the baseline measure from the World Governance Index of the World Bank.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Phosphate rock also sees a significant increase in supply risk, as reserves are extremely concentrated (see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Box 2). At the same time, some relatively critical minerals are predicted to become less so by 2030,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notably cobalt, fluorspar and tungsten. </w:t>
      </w:r>
    </w:p>
    <w:p>
      <w:pPr>
        <w:autoSpaceDN w:val="0"/>
        <w:tabs>
          <w:tab w:pos="1956" w:val="left"/>
        </w:tabs>
        <w:autoSpaceDE w:val="0"/>
        <w:widowControl/>
        <w:spacing w:line="250" w:lineRule="exact" w:before="208" w:after="0"/>
        <w:ind w:left="76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12. </w:t>
      </w:r>
      <w:r>
        <w:tab/>
      </w:r>
      <w:r>
        <w:rPr>
          <w:rFonts w:ascii="Arial" w:hAnsi="Arial" w:eastAsia="Arial"/>
          <w:b/>
          <w:i w:val="0"/>
          <w:color w:val="000000"/>
          <w:sz w:val="18"/>
        </w:rPr>
        <w:t xml:space="preserve">Supply risk predictions for 2030 using the production-to-reserves ratio method </w:t>
      </w:r>
    </w:p>
    <w:p>
      <w:pPr>
        <w:autoSpaceDN w:val="0"/>
        <w:autoSpaceDE w:val="0"/>
        <w:widowControl/>
        <w:spacing w:line="240" w:lineRule="auto" w:before="2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60670" cy="461898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618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59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29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47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9546"/>
      </w:tblGrid>
      <w:tr>
        <w:trPr>
          <w:trHeight w:hRule="exact" w:val="7814"/>
        </w:trPr>
        <w:tc>
          <w:tcPr>
            <w:tcW w:type="dxa" w:w="9026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4" w:val="left"/>
              </w:tabs>
              <w:autoSpaceDE w:val="0"/>
              <w:widowControl/>
              <w:spacing w:line="252" w:lineRule="exact" w:before="284" w:after="0"/>
              <w:ind w:left="221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Box 2.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Production and reserves of phosphate rock </w:t>
            </w:r>
          </w:p>
          <w:p>
            <w:pPr>
              <w:autoSpaceDN w:val="0"/>
              <w:autoSpaceDE w:val="0"/>
              <w:widowControl/>
              <w:spacing w:line="264" w:lineRule="exact" w:before="194" w:after="0"/>
              <w:ind w:left="13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Phosphate rock is a sedimentary rock containing large amounts of phosphate-bearing minerals. It is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currently the only economically viable source of phosphorus for nitrogen-phosphorus-potassium fertilizers,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which are used widely on food crops. Phosphate rock is also used in animal feed supplements, food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preservatives, anti-corrosion agents, cosmetics, fungicides, ceramics, water treatment and metallurgy.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Phosphate rock is fairly common and found worldwide, but reserves are concentrated in Morocco and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Western Sahara (75% of all reserves), while production is concentrated in China (45%). </w:t>
            </w:r>
          </w:p>
          <w:p>
            <w:pPr>
              <w:autoSpaceDN w:val="0"/>
              <w:autoSpaceDE w:val="0"/>
              <w:widowControl/>
              <w:spacing w:line="264" w:lineRule="exact" w:before="2" w:after="0"/>
              <w:ind w:left="13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An extremely high concentration of reserves in a rather unstable region explains why supply risk increases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significantly in the period up to 2030 (Figure 11). </w:t>
            </w:r>
          </w:p>
          <w:p>
            <w:pPr>
              <w:autoSpaceDN w:val="0"/>
              <w:autoSpaceDE w:val="0"/>
              <w:widowControl/>
              <w:spacing w:line="240" w:lineRule="auto" w:before="7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384800" cy="239014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2390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52" w:lineRule="exact" w:before="51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third scenario assumes that future production occurs where reserves are currently present,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meaning that the production distribution in 2030 will equal the current distribution of reserves. This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considered to be the extreme scenario of future supply risk. Figure 13 compares supply risk according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measure with supply risk according to today’s distribution of production, in a manner analogous to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previous figure. </w:t>
      </w:r>
    </w:p>
    <w:p>
      <w:pPr>
        <w:autoSpaceDN w:val="0"/>
        <w:autoSpaceDE w:val="0"/>
        <w:widowControl/>
        <w:spacing w:line="252" w:lineRule="exact" w:before="242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 can be seen, the supply risk attending to phosphate rock is particularly large according to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reserves-based measure, due to its concentration in Morocco and Western Sahara (Box 2). By contrast,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supply risk index value is markedly lower than today for natural graphite, although this mineral remains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among the most risky from a supply perspective, fluorspar, antimony, cobalt, tungsten and, interestingly,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barytes. </w:t>
      </w:r>
    </w:p>
    <w:p>
      <w:pPr>
        <w:autoSpaceDN w:val="0"/>
        <w:autoSpaceDE w:val="0"/>
        <w:widowControl/>
        <w:spacing w:line="290" w:lineRule="exact" w:before="221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30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10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1890" w:val="left"/>
        </w:tabs>
        <w:autoSpaceDE w:val="0"/>
        <w:widowControl/>
        <w:spacing w:line="252" w:lineRule="exact" w:before="450" w:after="0"/>
        <w:ind w:left="69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13. </w:t>
      </w:r>
      <w:r>
        <w:rPr>
          <w:rFonts w:ascii="Arial" w:hAnsi="Arial" w:eastAsia="Arial"/>
          <w:b/>
          <w:i w:val="0"/>
          <w:color w:val="000000"/>
          <w:sz w:val="18"/>
        </w:rPr>
        <w:t xml:space="preserve">Supply risk predictions for 2030 using reserve distribution instead of production </w:t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64250" cy="41249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124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6" w:lineRule="exact" w:before="710" w:after="0"/>
        <w:ind w:left="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2"/>
        </w:rPr>
        <w:t xml:space="preserve">3.2.2 Future economic importance </w:t>
      </w:r>
    </w:p>
    <w:p>
      <w:pPr>
        <w:autoSpaceDN w:val="0"/>
        <w:autoSpaceDE w:val="0"/>
        <w:widowControl/>
        <w:spacing w:line="252" w:lineRule="exact" w:before="236" w:after="0"/>
        <w:ind w:left="0" w:right="48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 Importance in 2030 depends on how the consumption of minerals in the future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shared between different end-use sectors, as well as the relative economic importance of these sectors.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consumption of a specific end-use sector depends heavily on technology. It is therefore difficult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predict which sectors will use which minerals in 2030. In the context of this report, consumption shares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therefore assumed constant. As an example, this means that since 26% of aluminium is currently going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Construction Materials sector, it will remain so in 2030. </w:t>
      </w:r>
    </w:p>
    <w:p>
      <w:pPr>
        <w:autoSpaceDN w:val="0"/>
        <w:autoSpaceDE w:val="0"/>
        <w:widowControl/>
        <w:spacing w:line="254" w:lineRule="exact" w:before="238" w:after="0"/>
        <w:ind w:left="0" w:right="48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second component determining economic importance is the relative value added by sector. 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discussed in Section 2, we use the results of macroeconomic modelling with OECD’s ENV-LINKAGES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model to project the sectoral composition of OECD economies in 2030. </w:t>
      </w:r>
    </w:p>
    <w:p>
      <w:pPr>
        <w:autoSpaceDN w:val="0"/>
        <w:tabs>
          <w:tab w:pos="442" w:val="left"/>
        </w:tabs>
        <w:autoSpaceDE w:val="0"/>
        <w:widowControl/>
        <w:spacing w:line="252" w:lineRule="exact" w:before="2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Conducting the criticality analysis with the model-based forecast of sectoral composition in 2030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yields the results presented in Figure 14 below. </w:t>
      </w:r>
    </w:p>
    <w:p>
      <w:pPr>
        <w:autoSpaceDN w:val="0"/>
        <w:autoSpaceDE w:val="0"/>
        <w:widowControl/>
        <w:spacing w:line="290" w:lineRule="exact" w:before="1888" w:after="0"/>
        <w:ind w:left="0" w:right="472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31</w:t>
      </w:r>
    </w:p>
    <w:p>
      <w:pPr>
        <w:sectPr>
          <w:pgSz w:w="11906" w:h="16838"/>
          <w:pgMar w:top="612" w:right="1144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39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30.0" w:type="dxa"/>
      </w:tblPr>
      <w:tblGrid>
        <w:gridCol w:w="4773"/>
        <w:gridCol w:w="4773"/>
      </w:tblGrid>
      <w:tr>
        <w:trPr>
          <w:trHeight w:hRule="exact" w:val="372"/>
        </w:trPr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14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Figure 14. </w:t>
            </w:r>
          </w:p>
        </w:tc>
        <w:tc>
          <w:tcPr>
            <w:tcW w:type="dxa" w:w="4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Economic Importance in 2030 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5.99999999999994" w:type="dxa"/>
      </w:tblPr>
      <w:tblGrid>
        <w:gridCol w:w="9546"/>
      </w:tblGrid>
      <w:tr>
        <w:trPr>
          <w:trHeight w:hRule="exact" w:val="7364"/>
        </w:trPr>
        <w:tc>
          <w:tcPr>
            <w:tcW w:type="dxa" w:w="8968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685789" cy="46659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789" cy="4665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442" w:val="left"/>
        </w:tabs>
        <w:autoSpaceDE w:val="0"/>
        <w:widowControl/>
        <w:spacing w:line="252" w:lineRule="exact" w:before="23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comparison with the changes observed when making supply risk dynamic, the estimates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 importance in 2030 are relatively similar to those today. </w:t>
      </w:r>
    </w:p>
    <w:p>
      <w:pPr>
        <w:autoSpaceDN w:val="0"/>
        <w:autoSpaceDE w:val="0"/>
        <w:widowControl/>
        <w:spacing w:line="296" w:lineRule="exact" w:before="2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3.3 Recycling and substitutability needs </w:t>
      </w:r>
    </w:p>
    <w:p>
      <w:pPr>
        <w:autoSpaceDN w:val="0"/>
        <w:autoSpaceDE w:val="0"/>
        <w:widowControl/>
        <w:spacing w:line="254" w:lineRule="exact" w:before="23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Substitutability and recycling rates were kept constant in the analysis presented above. This was done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two reasons. First, it is difficult to predict how they will develop over time, as they depend 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technological innovation, relative prices and future policy initiatives, among other things. Second, keeping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them constant in the baseline, in order to then evaluate what changes to substitutability and recycling rates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are needed to mitigate criticality, serves as an interesting exercise in policy analysis. OECD policy-makers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have to take many market conditions – such as the location of production of minerals – as given, but they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can influence domestic and international R&amp;D towards the development of substitutes, as well as national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policies.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section first calculates the increase in the level of substitutability that is necessary to make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critical minerals non-critical according to the application of the thresholds from the EU studies (European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Commission, 2010; 2014), while holding constant recycling rates, as well, of course, as political stability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the concentration of production. This exercise is conducted both for critical minerals today, and for </w:t>
      </w:r>
    </w:p>
    <w:p>
      <w:pPr>
        <w:autoSpaceDN w:val="0"/>
        <w:autoSpaceDE w:val="0"/>
        <w:widowControl/>
        <w:spacing w:line="290" w:lineRule="exact" w:before="7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32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that are critical according to the 2030-scenario in which production converges gradually towards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distribution of reserves as they are depleted. </w:t>
      </w:r>
    </w:p>
    <w:p>
      <w:pPr>
        <w:autoSpaceDN w:val="0"/>
        <w:autoSpaceDE w:val="0"/>
        <w:widowControl/>
        <w:spacing w:line="252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15 presents the results for today and Figure 16 those for 2030. Note that not all minerals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present in the estimates for 2030, as reserves data are only available for a subset. Recall that a high value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 the substitutability measure indicates that a mineral is relatively difficult to substitute. </w:t>
      </w:r>
    </w:p>
    <w:p>
      <w:pPr>
        <w:autoSpaceDN w:val="0"/>
        <w:autoSpaceDE w:val="0"/>
        <w:widowControl/>
        <w:spacing w:line="252" w:lineRule="exact" w:before="242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Focusing on 2030, a timescale in which R&amp;D policies could be reasonably expected to deliver results,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Figure 15 shows that the improvements required to mineral substitutability vary widely. For minerals such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 borate, barytes, phosphate rock and molybdenum, very large increases in substitutability will be required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a very low starting point, suggesting that significant investments in R&amp;D would be necessary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these minerals. By contrast, only small improvements would be required for manganese, bauxite, copper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potash, although again in the cases of manganese and bauxite substitutability is currently very low, so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gains may not be won easily. </w:t>
      </w:r>
    </w:p>
    <w:p>
      <w:pPr>
        <w:autoSpaceDN w:val="0"/>
        <w:tabs>
          <w:tab w:pos="2674" w:val="left"/>
        </w:tabs>
        <w:autoSpaceDE w:val="0"/>
        <w:widowControl/>
        <w:spacing w:line="252" w:lineRule="exact" w:before="208" w:after="0"/>
        <w:ind w:left="148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15. </w:t>
      </w:r>
      <w:r>
        <w:tab/>
      </w:r>
      <w:r>
        <w:rPr>
          <w:rFonts w:ascii="Arial" w:hAnsi="Arial" w:eastAsia="Arial"/>
          <w:b/>
          <w:i w:val="0"/>
          <w:color w:val="000000"/>
          <w:sz w:val="18"/>
        </w:rPr>
        <w:t xml:space="preserve">Changes in substitutability needed to mitigate criticality today </w:t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52720" cy="464819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648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396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Notes: </w:t>
      </w:r>
    </w:p>
    <w:p>
      <w:pPr>
        <w:autoSpaceDN w:val="0"/>
        <w:autoSpaceDE w:val="0"/>
        <w:widowControl/>
        <w:spacing w:line="214" w:lineRule="exact" w:before="92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 higher value on the substitutability axis implies that the mineral is less substitutable and thus associated with high supply risk. </w:t>
      </w:r>
    </w:p>
    <w:p>
      <w:pPr>
        <w:autoSpaceDN w:val="0"/>
        <w:autoSpaceDE w:val="0"/>
        <w:widowControl/>
        <w:spacing w:line="214" w:lineRule="exact" w:before="88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At the substitutability levels indicated by the end-point of the arrows, currently critical minerals would be non-critical. </w:t>
      </w:r>
    </w:p>
    <w:p>
      <w:pPr>
        <w:autoSpaceDN w:val="0"/>
        <w:autoSpaceDE w:val="0"/>
        <w:widowControl/>
        <w:spacing w:line="290" w:lineRule="exact" w:before="59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33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2610" w:val="left"/>
        </w:tabs>
        <w:autoSpaceDE w:val="0"/>
        <w:widowControl/>
        <w:spacing w:line="252" w:lineRule="exact" w:before="450" w:after="0"/>
        <w:ind w:left="141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16. </w:t>
      </w:r>
      <w:r>
        <w:rPr>
          <w:rFonts w:ascii="Arial" w:hAnsi="Arial" w:eastAsia="Arial"/>
          <w:b/>
          <w:i w:val="0"/>
          <w:color w:val="000000"/>
          <w:sz w:val="18"/>
        </w:rPr>
        <w:t xml:space="preserve">Changes in substitutability needed to mitigate criticality in 2030 </w:t>
      </w:r>
    </w:p>
    <w:p>
      <w:pPr>
        <w:autoSpaceDN w:val="0"/>
        <w:autoSpaceDE w:val="0"/>
        <w:widowControl/>
        <w:spacing w:line="240" w:lineRule="auto" w:before="214" w:after="0"/>
        <w:ind w:left="5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80660" cy="45034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503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224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Notes: </w:t>
      </w:r>
    </w:p>
    <w:p>
      <w:pPr>
        <w:autoSpaceDN w:val="0"/>
        <w:autoSpaceDE w:val="0"/>
        <w:widowControl/>
        <w:spacing w:line="214" w:lineRule="exact" w:before="88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 higher value on the substitutability axis implies that the mineral is less substitutable and thus associated with high supply risk. </w:t>
      </w:r>
    </w:p>
    <w:p>
      <w:pPr>
        <w:autoSpaceDN w:val="0"/>
        <w:autoSpaceDE w:val="0"/>
        <w:widowControl/>
        <w:spacing w:line="214" w:lineRule="exact" w:before="9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At the substitutability levels indicated by the end-point of the arrows, currently critical minerals would be non-critical. </w:t>
      </w:r>
    </w:p>
    <w:p>
      <w:pPr>
        <w:autoSpaceDN w:val="0"/>
        <w:autoSpaceDE w:val="0"/>
        <w:widowControl/>
        <w:spacing w:line="252" w:lineRule="exact" w:before="614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same procedure is also applied to the case of recycling rates. Necessary recycling rates to mitigate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criticality today and in 2030 are presented in Figures 17 and 18. Most of the minerals analysed in this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report currently have recycling rates at zero, in particular: barytes; borate; fluorspar; gallium; germanium;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indium; magnesite; phosphate rock; heavy rare earth elements; light rare earth elements; silicon metal, and;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vanadium. Achieving lower supply risk for these minerals via recycling could thus require inventing new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technologies. However, this is not the case for a range of minerals where recycling is currently taking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place, in particular: antimony; beryllium; chromium; cobalt; iron ore; magnesium; molybdenum; niobium;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PGMs; scandium, and; tungsten. For these minerals, higher recycling rates require either using existing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technologies more efficiently or developing new ones. </w:t>
      </w:r>
    </w:p>
    <w:p>
      <w:pPr>
        <w:autoSpaceDN w:val="0"/>
        <w:autoSpaceDE w:val="0"/>
        <w:widowControl/>
        <w:spacing w:line="290" w:lineRule="exact" w:before="186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34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2918" w:val="left"/>
        </w:tabs>
        <w:autoSpaceDE w:val="0"/>
        <w:widowControl/>
        <w:spacing w:line="252" w:lineRule="exact" w:before="450" w:after="0"/>
        <w:ind w:left="17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17. </w:t>
      </w:r>
      <w:r>
        <w:tab/>
      </w:r>
      <w:r>
        <w:rPr>
          <w:rFonts w:ascii="Arial" w:hAnsi="Arial" w:eastAsia="Arial"/>
          <w:b/>
          <w:i w:val="0"/>
          <w:color w:val="000000"/>
          <w:sz w:val="18"/>
        </w:rPr>
        <w:t xml:space="preserve">Changes in recycling needed to mitigate criticality today </w:t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67959" cy="464947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4649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4" w:lineRule="exact" w:before="134" w:after="0"/>
        <w:ind w:left="0" w:right="51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Notes: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Higher recycling rates are associated with lower supply risk. </w:t>
      </w:r>
    </w:p>
    <w:p>
      <w:pPr>
        <w:autoSpaceDN w:val="0"/>
        <w:autoSpaceDE w:val="0"/>
        <w:widowControl/>
        <w:spacing w:line="214" w:lineRule="exact" w:before="9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At the recycling rates indicated by the end-point of the arrows, currently critical minerals would be non-critical. </w:t>
      </w:r>
    </w:p>
    <w:p>
      <w:pPr>
        <w:autoSpaceDN w:val="0"/>
        <w:autoSpaceDE w:val="0"/>
        <w:widowControl/>
        <w:spacing w:line="290" w:lineRule="exact" w:before="451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35</w:t>
      </w:r>
    </w:p>
    <w:p>
      <w:pPr>
        <w:sectPr>
          <w:pgSz w:w="11906" w:h="16838"/>
          <w:pgMar w:top="612" w:right="123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2854" w:val="left"/>
        </w:tabs>
        <w:autoSpaceDE w:val="0"/>
        <w:widowControl/>
        <w:spacing w:line="252" w:lineRule="exact" w:before="450" w:after="0"/>
        <w:ind w:left="166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18. </w:t>
      </w:r>
      <w:r>
        <w:tab/>
      </w:r>
      <w:r>
        <w:rPr>
          <w:rFonts w:ascii="Arial" w:hAnsi="Arial" w:eastAsia="Arial"/>
          <w:b/>
          <w:i w:val="0"/>
          <w:color w:val="000000"/>
          <w:sz w:val="18"/>
        </w:rPr>
        <w:t xml:space="preserve">Changes in recycling needed to mitigate criticality in 2030 </w:t>
      </w:r>
    </w:p>
    <w:p>
      <w:pPr>
        <w:autoSpaceDN w:val="0"/>
        <w:autoSpaceDE w:val="0"/>
        <w:widowControl/>
        <w:spacing w:line="240" w:lineRule="auto" w:before="214" w:after="0"/>
        <w:ind w:left="5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9390" cy="45300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4530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216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Notes: </w:t>
      </w:r>
    </w:p>
    <w:p>
      <w:pPr>
        <w:autoSpaceDN w:val="0"/>
        <w:autoSpaceDE w:val="0"/>
        <w:widowControl/>
        <w:spacing w:line="214" w:lineRule="exact" w:before="9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Higher recycling rates are associated with lower supply risk. </w:t>
      </w:r>
    </w:p>
    <w:p>
      <w:pPr>
        <w:autoSpaceDN w:val="0"/>
        <w:autoSpaceDE w:val="0"/>
        <w:widowControl/>
        <w:spacing w:line="214" w:lineRule="exact" w:before="9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6"/>
        </w:rPr>
        <w:t xml:space="preserve">At the recycling rates indicated by the end-point of the arrows, currently critical minerals would be non-critical. </w:t>
      </w:r>
    </w:p>
    <w:p>
      <w:pPr>
        <w:autoSpaceDN w:val="0"/>
        <w:autoSpaceDE w:val="0"/>
        <w:widowControl/>
        <w:spacing w:line="252" w:lineRule="exact" w:before="614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both Figures 17 and 18, it is important to notice that for some minerals recycling requirements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are especially high (assuming no improvements in substitutability). To mitigate criticality today, it would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 necessary to have recycling rates of over 60% for magnesium, REEs (heavy and light), germanium,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natural graphite, niobium, cobalt, antimony and tungsten. On the other hand, scandium, borate, chromium,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gallium and especially vanadium require relatively low recycling rates today in order to change status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become non-critical (less than 20%).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2030, it is copper, fluorspar, manganese, potash, tin and bauxite that require relatively low rates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in order to change status from critical to non-critical according to the thresholds from the EU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studies, whereas for barytes, borate, molybdenum, natural graphite, antimony and phosphate rock huge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improvements would still be required. Tungsten would also need to be recycled to a high degree in 2030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(over 50%), but the recycling rate for this mineral is already at about  40%. </w:t>
      </w:r>
    </w:p>
    <w:p>
      <w:pPr>
        <w:autoSpaceDN w:val="0"/>
        <w:autoSpaceDE w:val="0"/>
        <w:widowControl/>
        <w:spacing w:line="256" w:lineRule="exact" w:before="236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Section 2 explained that, in this study, recycling rates are defined as the End-of-life Recycling Input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Rate (EOL-RIR). Increases in EOL-RIRs to mitigate criticality might be infeasible in practice. For a given </w:t>
      </w:r>
    </w:p>
    <w:p>
      <w:pPr>
        <w:autoSpaceDN w:val="0"/>
        <w:autoSpaceDE w:val="0"/>
        <w:widowControl/>
        <w:spacing w:line="290" w:lineRule="exact" w:before="33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36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utilisation of metals, increasing the recycling rate would require either increasing the collection rate of old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scrap, and/or increasing the recycling efficiency of old scrap (the percentage of metals or materials in end-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of-life products that is recycled). However, ultimately EOL-RIR values depend on the current demand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metals compared to past metal production. Even with perfect recycling of metals embodied in old products,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 EOL-RIR value for a metal can still be low, if the demand for this metal is increasing through time. </w:t>
      </w:r>
    </w:p>
    <w:p>
      <w:pPr>
        <w:autoSpaceDN w:val="0"/>
        <w:autoSpaceDE w:val="0"/>
        <w:widowControl/>
        <w:spacing w:line="254" w:lineRule="exact" w:before="242" w:after="0"/>
        <w:ind w:left="2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is difficult to forecast improvements in recycling, and to define recycling rates that could be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considered feasible in the future. Looking at past achievements may give a hint of the potential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improvement, but unfortunately historical data on recycling rates are available only for a very few major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metals. It is unlikely that trends observed for major metals such as iron and copper apply to other metals,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because each metal has specific properties that make its recycling more or less complex. Graedel et al.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(2011) stress that recycling efficiency largely depends on “the form in which a metal is used (pure, alloyed,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etc.), the quantity of a metal in a specific product, [and] the design of a product (easy or hard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disassemble)”. In the short term, recycling is constrained by the availability of recycling installations,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recycling efforts and installations are impacted by the market value of metals. In addition, as mentioned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earlier, EOL-RIR measures also rely on current demand for metals. If current demand is large compared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past production, recycled metal cannot match current needs. </w:t>
      </w:r>
    </w:p>
    <w:p>
      <w:pPr>
        <w:autoSpaceDN w:val="0"/>
        <w:tabs>
          <w:tab w:pos="444" w:val="left"/>
        </w:tabs>
        <w:autoSpaceDE w:val="0"/>
        <w:widowControl/>
        <w:spacing w:line="254" w:lineRule="exact" w:before="238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Therefore it is important to conclude this section by reminding that the analysis has merely mapped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out the extremes of what might be required from recycling and improvements in substitutability. </w:t>
      </w:r>
    </w:p>
    <w:p>
      <w:pPr>
        <w:autoSpaceDN w:val="0"/>
        <w:autoSpaceDE w:val="0"/>
        <w:widowControl/>
        <w:spacing w:line="294" w:lineRule="exact" w:before="92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4. ROBUSTNESS CHECKS </w:t>
      </w:r>
    </w:p>
    <w:p>
      <w:pPr>
        <w:autoSpaceDN w:val="0"/>
        <w:autoSpaceDE w:val="0"/>
        <w:widowControl/>
        <w:spacing w:line="254" w:lineRule="exact" w:before="714" w:after="0"/>
        <w:ind w:left="2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section tests the robustness of the results obtained to various key methodological choices.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Section 4.1 discusses how criticality depends on the weighting of the different components of the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 index. Section 4.2 evaluates alternative measures of political risk. Section 4.3 compares the results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estimation of economic importance with the results of two studies that use an alternative method. </w:t>
      </w:r>
    </w:p>
    <w:p>
      <w:pPr>
        <w:autoSpaceDN w:val="0"/>
        <w:autoSpaceDE w:val="0"/>
        <w:widowControl/>
        <w:spacing w:line="296" w:lineRule="exact" w:before="202" w:after="0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4.1 Weighting factors </w:t>
      </w:r>
    </w:p>
    <w:p>
      <w:pPr>
        <w:autoSpaceDN w:val="0"/>
        <w:autoSpaceDE w:val="0"/>
        <w:widowControl/>
        <w:spacing w:line="254" w:lineRule="exact" w:before="232" w:after="0"/>
        <w:ind w:left="2" w:right="24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this report, supply risk is a compound index aggregating three dimensions multiplicatively: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substitutability, recycling rates and the concentration of production in politically unstable countries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(formulae (1) and (2)). Alternative weightings of these dimensions would lead to different values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aggregate index. </w:t>
      </w:r>
    </w:p>
    <w:p>
      <w:pPr>
        <w:autoSpaceDN w:val="0"/>
        <w:autoSpaceDE w:val="0"/>
        <w:widowControl/>
        <w:spacing w:line="252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Table 5 presents correlation coefficients between the different components of the supply risk index, 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well as with overall supply risk, for our sample of minerals. A very tight positive correlation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political risk and the overall index of supply risk can be observed, as well as a negative correlation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substitutability and overall supply risk (more substitutable means lower supply risk). Putting more weight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on political risk and/or substitutability would hence not change the relative ranking of materials according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supply risk by very much. This echoes what was shown in Figure 5, namely that political risk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substitutability are the main drivers of supply risk. However, the correlation between recycling rates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overall index of supply risk is low. Putting more weight on recycling rates could change significantly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relative ranking of materials according to supply risk. </w:t>
      </w:r>
    </w:p>
    <w:p>
      <w:pPr>
        <w:autoSpaceDN w:val="0"/>
        <w:autoSpaceDE w:val="0"/>
        <w:widowControl/>
        <w:spacing w:line="290" w:lineRule="exact" w:before="108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37</w:t>
      </w:r>
    </w:p>
    <w:p>
      <w:pPr>
        <w:sectPr>
          <w:pgSz w:w="11906" w:h="16838"/>
          <w:pgMar w:top="612" w:right="1170" w:bottom="616" w:left="11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50" w:after="216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Table 5. Correlations between the elements of the supply risk index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1.9999999999999" w:type="dxa"/>
      </w:tblPr>
      <w:tblGrid>
        <w:gridCol w:w="1909"/>
        <w:gridCol w:w="1909"/>
        <w:gridCol w:w="1909"/>
        <w:gridCol w:w="1909"/>
        <w:gridCol w:w="1909"/>
      </w:tblGrid>
      <w:tr>
        <w:trPr>
          <w:trHeight w:hRule="exact" w:val="678"/>
        </w:trPr>
        <w:tc>
          <w:tcPr>
            <w:tcW w:type="dxa" w:w="1762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/>
        </w:tc>
        <w:tc>
          <w:tcPr>
            <w:tcW w:type="dxa" w:w="15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Overall supply </w:t>
            </w: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risk </w:t>
            </w:r>
          </w:p>
        </w:tc>
        <w:tc>
          <w:tcPr>
            <w:tcW w:type="dxa" w:w="158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Substitutability </w:t>
            </w:r>
          </w:p>
        </w:tc>
        <w:tc>
          <w:tcPr>
            <w:tcW w:type="dxa" w:w="158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Recycling </w:t>
            </w:r>
          </w:p>
        </w:tc>
        <w:tc>
          <w:tcPr>
            <w:tcW w:type="dxa" w:w="15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Political risk </w:t>
            </w:r>
          </w:p>
        </w:tc>
      </w:tr>
      <w:tr>
        <w:trPr>
          <w:trHeight w:hRule="exact" w:val="672"/>
        </w:trPr>
        <w:tc>
          <w:tcPr>
            <w:tcW w:type="dxa" w:w="176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98" w:after="0"/>
              <w:ind w:left="144" w:right="144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Overall supply </w:t>
            </w: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risk </w:t>
            </w:r>
          </w:p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type="dxa" w:w="15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/>
        </w:tc>
        <w:tc>
          <w:tcPr>
            <w:tcW w:type="dxa" w:w="158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/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2"/>
        </w:trPr>
        <w:tc>
          <w:tcPr>
            <w:tcW w:type="dxa" w:w="176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Substitutability </w:t>
            </w:r>
          </w:p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0.27 </w:t>
            </w:r>
          </w:p>
        </w:tc>
        <w:tc>
          <w:tcPr>
            <w:tcW w:type="dxa" w:w="15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type="dxa" w:w="158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8"/>
        </w:trPr>
        <w:tc>
          <w:tcPr>
            <w:tcW w:type="dxa" w:w="176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Recycling </w:t>
            </w:r>
          </w:p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-0.19 </w:t>
            </w:r>
          </w:p>
        </w:tc>
        <w:tc>
          <w:tcPr>
            <w:tcW w:type="dxa" w:w="15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0.14 </w:t>
            </w:r>
          </w:p>
        </w:tc>
        <w:tc>
          <w:tcPr>
            <w:tcW w:type="dxa" w:w="158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9d9d8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0"/>
        </w:trPr>
        <w:tc>
          <w:tcPr>
            <w:tcW w:type="dxa" w:w="176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5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/>
                <w:color w:val="FFFFFF"/>
                <w:sz w:val="22"/>
              </w:rPr>
              <w:t xml:space="preserve">Political risk </w:t>
            </w:r>
          </w:p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0.95 </w:t>
            </w:r>
          </w:p>
        </w:tc>
        <w:tc>
          <w:tcPr>
            <w:tcW w:type="dxa" w:w="15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0.11 </w:t>
            </w:r>
          </w:p>
        </w:tc>
        <w:tc>
          <w:tcPr>
            <w:tcW w:type="dxa" w:w="158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-0.05 </w:t>
            </w:r>
          </w:p>
        </w:tc>
        <w:tc>
          <w:tcPr>
            <w:tcW w:type="dxa" w:w="1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1 </w:t>
            </w:r>
          </w:p>
        </w:tc>
      </w:tr>
    </w:tbl>
    <w:p>
      <w:pPr>
        <w:autoSpaceDN w:val="0"/>
        <w:autoSpaceDE w:val="0"/>
        <w:widowControl/>
        <w:spacing w:line="294" w:lineRule="exact" w:before="47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4.2 Alternative risk measures </w:t>
      </w:r>
    </w:p>
    <w:p>
      <w:pPr>
        <w:autoSpaceDN w:val="0"/>
        <w:autoSpaceDE w:val="0"/>
        <w:widowControl/>
        <w:spacing w:line="252" w:lineRule="exact" w:before="236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Geographical concentration of production is weighted by an index measuring political stability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produce the overall estimate of political risk attending to each mineral in the sample used in this report.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analysis relies primarily on the World Governance Index (WGI) of political stability provided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World Bank. The index is constructed based on expert assessments, but is not necessarily a correct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representation of the risks facing minerals production and export. The index describes the political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situation based on three different sub-indices, including Government Effectiveness and the Rule of Law. It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is therefore useful to determine how sensitive our findings are to using this particular measure of political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risk. </w:t>
      </w:r>
    </w:p>
    <w:p>
      <w:pPr>
        <w:autoSpaceDN w:val="0"/>
        <w:autoSpaceDE w:val="0"/>
        <w:widowControl/>
        <w:spacing w:line="252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Two alternative measures of risk are applied and compared the resulting estimates of supply risk with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our main findings computed using the WGI. The first alternative candidate is the Political Risk Services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Group’s (PRS) index of government stability. This index is an expert assessment of both the government’s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capability to carry out its declared program, and its ability to stay in office. The rationale behind using this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is that government stability is the foundation for providing minerals to the world market. The second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alternative candidate for quantifying risks facing minerals production and export is the Open Markets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Index (OMI) provided by the International Chamber of Commerce. This index captures the extent to which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countries are genuinely open economies. It consists of three sub-indices describing trade openness, trade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policy and trade-enabling infrastructure. The principle behind using this index is that the openness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economies is an important factor that mitigates supply risk. Figures 19 and 20 present the results of this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robustness check. </w:t>
      </w:r>
    </w:p>
    <w:p>
      <w:pPr>
        <w:autoSpaceDN w:val="0"/>
        <w:autoSpaceDE w:val="0"/>
        <w:widowControl/>
        <w:spacing w:line="290" w:lineRule="exact" w:before="421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38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1476" w:val="left"/>
        </w:tabs>
        <w:autoSpaceDE w:val="0"/>
        <w:widowControl/>
        <w:spacing w:line="252" w:lineRule="exact" w:before="450" w:after="0"/>
        <w:ind w:left="28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19. </w:t>
      </w:r>
      <w:r>
        <w:tab/>
      </w:r>
      <w:r>
        <w:rPr>
          <w:rFonts w:ascii="Arial" w:hAnsi="Arial" w:eastAsia="Arial"/>
          <w:b/>
          <w:i w:val="0"/>
          <w:color w:val="000000"/>
          <w:sz w:val="18"/>
        </w:rPr>
        <w:t xml:space="preserve">Supply risk based on PRS vs. Supply risk based on WGI (Supply risk predictions for 2030) </w:t>
      </w:r>
    </w:p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1809" cy="470154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809" cy="4701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exact" w:before="74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general, minerals have lower supply risk according to the PRS index than according to the WGI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(with the exception of a handful of minerals, most notably lithium, rhenium and beryllium). The important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factor here is that China is considered more stable according to the PRS index than according to the WGI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index. This is quantitatively important for the most risky minerals from a supply perspective, notably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heavy rare earth elements, germanium, natural graphite and light rare earth elements, but, despite shifting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downwards on the supply risk index, these minerals remain the most risky. That is to say, our results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qualitatively robust to substituting the PRS index for the WGI index. </w:t>
      </w:r>
    </w:p>
    <w:p>
      <w:pPr>
        <w:autoSpaceDN w:val="0"/>
        <w:autoSpaceDE w:val="0"/>
        <w:widowControl/>
        <w:spacing w:line="254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Reviewing the OMI findings (Figure 20) shows that supply risk is generally higher when using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openness to trade rather than when using the WGI index of political stability. The exception to this trend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cobalt, for which supply risk is significantly lower. Generally, however, there are only minor differences,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and findings are thus also robust to using the OMI index rather than the WGI index. </w:t>
      </w:r>
    </w:p>
    <w:p>
      <w:pPr>
        <w:autoSpaceDN w:val="0"/>
        <w:autoSpaceDE w:val="0"/>
        <w:widowControl/>
        <w:spacing w:line="290" w:lineRule="exact" w:before="171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39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1494" w:val="left"/>
        </w:tabs>
        <w:autoSpaceDE w:val="0"/>
        <w:widowControl/>
        <w:spacing w:line="252" w:lineRule="exact" w:before="450" w:after="0"/>
        <w:ind w:left="302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Figure 20. </w:t>
      </w:r>
      <w:r>
        <w:rPr>
          <w:rFonts w:ascii="Arial" w:hAnsi="Arial" w:eastAsia="Arial"/>
          <w:b/>
          <w:i w:val="0"/>
          <w:color w:val="000000"/>
          <w:sz w:val="18"/>
        </w:rPr>
        <w:t xml:space="preserve">Supply risk based on OMI vs. Supply risk based on WGI (Supply risk predictions for 2030) </w:t>
      </w:r>
    </w:p>
    <w:p>
      <w:pPr>
        <w:autoSpaceDN w:val="0"/>
        <w:autoSpaceDE w:val="0"/>
        <w:widowControl/>
        <w:spacing w:line="240" w:lineRule="auto" w:before="214" w:after="0"/>
        <w:ind w:left="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41670" cy="4876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487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5206" w:after="0"/>
        <w:ind w:left="0" w:right="443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40</w:t>
      </w:r>
    </w:p>
    <w:p>
      <w:pPr>
        <w:sectPr>
          <w:pgSz w:w="11906" w:h="16838"/>
          <w:pgMar w:top="612" w:right="144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4.3 An alternative approach to economic importance </w:t>
      </w:r>
    </w:p>
    <w:p>
      <w:pPr>
        <w:autoSpaceDN w:val="0"/>
        <w:autoSpaceDE w:val="0"/>
        <w:widowControl/>
        <w:spacing w:line="254" w:lineRule="exact" w:before="234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report’s estimates of economic importance are based on how heavily a particular mineral is used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 each of a set of economic sectors, and what is the share of these sectors in the Gross Value Added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economy. The analysis comprises 17 sectors, sometimes called ‘megasectors’ (originally by the European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Commission, 2010), because they are constructed in such a way as to approximate value chains for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use. With only 17 sectors, this is a fairly coarse aggregation of different economic activities. </w:t>
      </w:r>
    </w:p>
    <w:p>
      <w:pPr>
        <w:autoSpaceDN w:val="0"/>
        <w:autoSpaceDE w:val="0"/>
        <w:widowControl/>
        <w:spacing w:line="252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megasectors approach is a practicable way to obtain consistent estimates of economic importance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a large set of minerals and a large group of countries such as the OECD, but it comes with problems.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Principally, while a megasector might be economically important, a mineral might only be used in some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sub-sectors of this megasector, so that greater disaggregation, were it possible, would reveal a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picture. In particular, the economic importance of minerals with highly specialised uses may be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exaggerated.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6</w:t>
      </w:r>
    </w:p>
    <w:p>
      <w:pPr>
        <w:autoSpaceDN w:val="0"/>
        <w:autoSpaceDE w:val="0"/>
        <w:widowControl/>
        <w:spacing w:line="252" w:lineRule="exact" w:before="244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Here we compare our estimates with those obtained by Harper et al. (forthcoming) and Nuss et al.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(2014), both of which use an alternative approach. According to this alternative approach,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(at the national level) is the sum of the value of a mineral on a measure of national economic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importance and of its value on a measure of so-called ‘material assets’. National economic importance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measured as the value of the mineral used as a share of national GDP, converted to a 1-100 scale.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material assets measure is obtained from a transformation of the ratio of the national per-capita in-use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stock of a mineral to the sum of the national in-use stock and national reserves.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estimates from Harper et al. (forthcoming) and Nuss et al. (2014) are only available for a total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nine of the minerals we analyse, and only for the US. Figure 21 presents this limited comparison. The two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approaches lead to estimates on two different scales, therefore the estimates are not easy to compare, but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what we would hope to see is that the ordering of minerals is the same, whichever approach is taken.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However, what the figure shows is that in fact the two different approaches give a quite different ordering.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For instance, while according to the megasectors method vanadium is the most economically important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for the US, according to the alternative method it is only 7/9. Conversely iron ore is the most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economically important mineral according to the alternative method, but according to the megasectors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method it is the joint least important. </w:t>
      </w:r>
    </w:p>
    <w:p>
      <w:pPr>
        <w:autoSpaceDN w:val="0"/>
        <w:autoSpaceDE w:val="0"/>
        <w:widowControl/>
        <w:spacing w:line="252" w:lineRule="exact" w:before="240" w:after="3062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Therefore it cannot be concluded that the analysis of economic importance is robust to the use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alternative approaches, but at the same time an enormous data-gathering effort would be required to roll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out alternative approaches to a large set of minerals and to the whole OECD.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73"/>
        <w:gridCol w:w="4773"/>
      </w:tblGrid>
      <w:tr>
        <w:trPr>
          <w:trHeight w:hRule="exact" w:val="866"/>
        </w:trPr>
        <w:tc>
          <w:tcPr>
            <w:tcW w:type="dxa" w:w="45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908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2" w:after="0"/>
              <w:ind w:left="400" w:right="1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This problem is acknowledged in European Commission (2010, p59): “As a particular raw material is not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used by all subsectors within a given mega-sector, there is a risk that a raw material's importance to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mega-sector will be exaggerated.” </w:t>
            </w:r>
          </w:p>
        </w:tc>
      </w:tr>
    </w:tbl>
    <w:p>
      <w:pPr>
        <w:autoSpaceDN w:val="0"/>
        <w:autoSpaceDE w:val="0"/>
        <w:widowControl/>
        <w:spacing w:line="290" w:lineRule="exact" w:before="3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41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39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0.0" w:type="dxa"/>
      </w:tblPr>
      <w:tblGrid>
        <w:gridCol w:w="4638"/>
        <w:gridCol w:w="4638"/>
      </w:tblGrid>
      <w:tr>
        <w:trPr>
          <w:trHeight w:hRule="exact" w:val="372"/>
        </w:trPr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14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Figure 21. 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1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Economic importance for the USA of 9 minerals according to different methods </w:t>
            </w:r>
          </w:p>
        </w:tc>
      </w:tr>
    </w:tbl>
    <w:p>
      <w:pPr>
        <w:autoSpaceDN w:val="0"/>
        <w:autoSpaceDE w:val="0"/>
        <w:widowControl/>
        <w:spacing w:line="1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0.0" w:type="dxa"/>
      </w:tblPr>
      <w:tblGrid>
        <w:gridCol w:w="9276"/>
      </w:tblGrid>
      <w:tr>
        <w:trPr>
          <w:trHeight w:hRule="exact" w:val="6864"/>
        </w:trPr>
        <w:tc>
          <w:tcPr>
            <w:tcW w:type="dxa" w:w="8360"/>
            <w:tcBorders>
              <w:start w:sz="12.0" w:val="single" w:color="#878787"/>
              <w:top w:sz="12.0" w:val="single" w:color="#878787"/>
              <w:end w:sz="12.0" w:val="single" w:color="#878787"/>
              <w:bottom w:sz="12.0" w:val="single" w:color="#878787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4.00000000000006" w:type="dxa"/>
            </w:tblPr>
            <w:tblGrid>
              <w:gridCol w:w="1045"/>
              <w:gridCol w:w="1045"/>
              <w:gridCol w:w="1045"/>
              <w:gridCol w:w="1045"/>
              <w:gridCol w:w="1045"/>
              <w:gridCol w:w="1045"/>
              <w:gridCol w:w="1045"/>
              <w:gridCol w:w="1045"/>
            </w:tblGrid>
            <w:tr>
              <w:trPr>
                <w:trHeight w:hRule="exact" w:val="504"/>
              </w:trPr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276" w:lineRule="auto" w:before="146" w:after="0"/>
                    <w:ind w:left="0" w:right="1438" w:firstLine="0"/>
                    <w:jc w:val="righ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 xml:space="preserve">EI (Harper et al; Nuss et al.) 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0" w:lineRule="auto" w:before="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80</w:t>
                  </w:r>
                </w:p>
              </w:tc>
              <w:tc>
                <w:tcPr>
                  <w:tcW w:type="dxa" w:w="7500"/>
                  <w:gridSpan w:val="6"/>
                  <w:vMerge w:val="restart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00.0" w:type="dxa"/>
                  </w:tblPr>
                  <w:tblGrid>
                    <w:gridCol w:w="1500"/>
                    <w:gridCol w:w="1500"/>
                    <w:gridCol w:w="1500"/>
                    <w:gridCol w:w="1500"/>
                    <w:gridCol w:w="1500"/>
                  </w:tblGrid>
                  <w:tr>
                    <w:trPr>
                      <w:trHeight w:hRule="exact" w:val="710"/>
                    </w:trPr>
                    <w:tc>
                      <w:tcPr>
                        <w:tcW w:type="dxa" w:w="1500"/>
                        <w:tcBorders>
                          <w:start w:sz="5.760000228881836" w:val="single" w:color="#878787"/>
                          <w:bottom w:sz="5.760000228881836" w:val="single" w:color="#878787"/>
                        </w:tcBorders>
                      </w:tcPr>
                      <w:p/>
                    </w:tc>
                    <w:tc>
                      <w:tcPr>
                        <w:tcW w:type="dxa" w:w="1500"/>
                        <w:tcBorders>
                          <w:start w:sz="5.760000228881836" w:val="single" w:color="#878787"/>
                          <w:bottom w:sz="5.760000228881836" w:val="single" w:color="#878787"/>
                        </w:tcBorders>
                      </w:tcPr>
                      <w:p/>
                    </w:tc>
                    <w:tc>
                      <w:tcPr>
                        <w:tcW w:type="dxa" w:w="1500"/>
                        <w:tcBorders>
                          <w:start w:sz="5.760000228881836" w:val="single" w:color="#878787"/>
                          <w:bottom w:sz="5.760000228881836" w:val="single" w:color="#878787"/>
                        </w:tcBorders>
                      </w:tcPr>
                      <w:p/>
                    </w:tc>
                    <w:tc>
                      <w:tcPr>
                        <w:tcW w:type="dxa" w:w="1500"/>
                        <w:tcBorders>
                          <w:start w:sz="5.760000228881836" w:val="single" w:color="#878787"/>
                          <w:bottom w:sz="5.760000228881836" w:val="single" w:color="#878787"/>
                        </w:tcBorders>
                      </w:tcPr>
                      <w:p/>
                    </w:tc>
                    <w:tc>
                      <w:tcPr>
                        <w:tcW w:type="dxa" w:w="1500"/>
                        <w:tcBorders>
                          <w:start w:sz="5.760000228881836" w:val="single" w:color="#878787"/>
                          <w:bottom w:sz="5.760000228881836" w:val="single" w:color="#878787"/>
                        </w:tcBorders>
                      </w:tcPr>
                      <w:p/>
                    </w:tc>
                  </w:tr>
                </w:tbl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6270"/>
                  <w:gridSpan w:val="6"/>
                  <w:vMerge/>
                  <w:tcBorders/>
                </w:tcPr>
                <w:p/>
              </w:tc>
            </w:tr>
            <w:tr>
              <w:tc>
                <w:tcPr>
                  <w:tcW w:type="dxa" w:w="1045"/>
                  <w:vMerge/>
                  <w:tcBorders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1045"/>
                </w:tcPr>
                <w:p/>
              </w:tc>
              <w:tc>
                <w:tcPr>
                  <w:tcW w:type="dxa" w:w="1045"/>
                </w:tcPr>
                <w:p/>
              </w:tc>
            </w:tr>
          </w:tbl>
          <w:p/>
        </w:tc>
      </w:tr>
    </w:tbl>
    <w:p>
      <w:pPr>
        <w:sectPr>
          <w:pgSz w:w="11906" w:h="16838"/>
          <w:pgMar w:top="612" w:right="144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5. LIMITATIONS </w:t>
      </w:r>
    </w:p>
    <w:p>
      <w:pPr>
        <w:autoSpaceDN w:val="0"/>
        <w:autoSpaceDE w:val="0"/>
        <w:widowControl/>
        <w:spacing w:line="290" w:lineRule="exact" w:before="678" w:after="0"/>
        <w:ind w:left="4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This section focuses on further limitations to the methodology and discusses potential improvements. </w:t>
      </w:r>
    </w:p>
    <w:p>
      <w:pPr>
        <w:autoSpaceDN w:val="0"/>
        <w:autoSpaceDE w:val="0"/>
        <w:widowControl/>
        <w:spacing w:line="252" w:lineRule="exact" w:before="240" w:after="0"/>
        <w:ind w:left="2" w:right="20" w:firstLine="442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Production and transport costs: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understanding the dynamics of production and transport costs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important, in order to have an insight into future price increases of key minerals. To determine long-term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prices, two opposing effects play a major role. On the one hand, because of extensive past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extraction, new production is usually from deeper layers of the Earth’s crust. This tends to increase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extraction costs. In addition, because of extensive past production, new production is located in areas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remote from the places of consumption, and competition between different land-uses also pushes mines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away from production centers, increasing transportation costs. On the other hand, technical progress tends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decrease investments costs (all else equal), making more deposits profitable. In the short-term,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extraction costs are increasing with the extraction flow, reflecting short-term capital constraints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fact that less-productive capacities have to be used to meet demand. Data concerning these costs are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difficult to obtain, and forecasts are particularly complicated. The US study (Natural Resource Council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National Academies, 2008) accounts for cost parameters in technological availability criteria, while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other studies do not take these considerations into account, as is the case of this report. </w:t>
      </w:r>
    </w:p>
    <w:p>
      <w:pPr>
        <w:autoSpaceDN w:val="0"/>
        <w:autoSpaceDE w:val="0"/>
        <w:widowControl/>
        <w:spacing w:line="252" w:lineRule="exact" w:before="244" w:after="0"/>
        <w:ind w:left="2" w:right="20" w:firstLine="442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By-products: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many minerals are produced as by-products of the production of other major minerals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(e.g. iron, copper and tin) and their market characteristics are therefore unconventional. The elasticity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supply of by-products is difficult to assess. Their supply depends on the production of major minerals,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concentration of by-products in deposits, economic incentives, and capacities to separate these by-products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main minerals. Demand for a by-product and its associated major mineral can evolve in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ways, putting at risk the supply of by-products. As a result, these by-products can exhibit strong price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volatility, jeopardising supply security in the short run. </w:t>
      </w:r>
    </w:p>
    <w:p>
      <w:pPr>
        <w:autoSpaceDN w:val="0"/>
        <w:autoSpaceDE w:val="0"/>
        <w:widowControl/>
        <w:spacing w:line="254" w:lineRule="exact" w:before="240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Previous studies (Nassar et al., 2012; Nuss et al., 2014) have pointed out that there is no clear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distinction between host metals, only produced for themselves, and companion metals, entirely produced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as by-products. Both of these studies apply the methodology developed in Graedel et al. (2012) and use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“the companion metal fraction” for each metal they analyse. This measure represents “the fraction of 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element obtained as a by-product with another metal” (Nuss et al., 2014). Nassar et al. (2012) assess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criticality of copper and its companion metals: arsenic, gold, selenium, silver, and tellurium. Whereas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copper and gold are mostly produced as main metals, the other elements (arsenic, selenium, silver, and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tellurium) are mostly produced as by-products. Following a similar approach, Nuss et al. (2014) study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criticality of iron and its principal alloying elements: vanadium, chromium, manganese and niobium.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companion metal fraction differs substantially between these different elements. About 82% of vanadium,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but only 13% of niobium and 4% of manganese, was produced as a companion metal in 2008.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 of chromium and iron from chromium-rich and iron-rich ores respectively accounted for all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their production in 2008. </w:t>
      </w:r>
    </w:p>
    <w:p>
      <w:pPr>
        <w:autoSpaceDN w:val="0"/>
        <w:autoSpaceDE w:val="0"/>
        <w:widowControl/>
        <w:spacing w:line="252" w:lineRule="exact" w:before="240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The US study (National Resource Council of the National Academies, 2008) also considered by-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products. It focused on 11 minerals or mineral groups: copper; PGMs; REEs; niobium; gallium; indium;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lithium; manganese; tantalum; titanium, and; vanadium. It found that by-product production, so to speak,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gallium, indium and vanadium represented “most” or all of their total world primary production, while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PGMs and REEs are primarily co-products. </w:t>
      </w:r>
    </w:p>
    <w:p>
      <w:pPr>
        <w:autoSpaceDN w:val="0"/>
        <w:autoSpaceDE w:val="0"/>
        <w:widowControl/>
        <w:spacing w:line="254" w:lineRule="exact" w:before="238" w:after="0"/>
        <w:ind w:left="2" w:right="22" w:firstLine="4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It is commonly acknowledged that data concerning companion metals are difficult to obtain. In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US study, fractions of by-product production come from “judgment based on published descriptions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production.” Nassar et al. (2012) and Nuss et al. (2014) have focused on a relatively small number of </w:t>
      </w:r>
    </w:p>
    <w:p>
      <w:pPr>
        <w:autoSpaceDN w:val="0"/>
        <w:autoSpaceDE w:val="0"/>
        <w:widowControl/>
        <w:spacing w:line="290" w:lineRule="exact" w:before="5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43</w:t>
      </w:r>
    </w:p>
    <w:p>
      <w:pPr>
        <w:sectPr>
          <w:pgSz w:w="11906" w:h="16838"/>
          <w:pgMar w:top="612" w:right="1172" w:bottom="616" w:left="11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52" w:lineRule="exact" w:before="486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elements (six and five respectively) for their more data-driven approach. The present study considers 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larger number of minerals and mineral groups. Obtaining companion metal fractions for each metal would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require extensive data collection. Therefore This report does not introduce a measure of the companion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metal fraction in the analysis. This extension is left for future investigation. </w:t>
      </w:r>
    </w:p>
    <w:p>
      <w:pPr>
        <w:autoSpaceDN w:val="0"/>
        <w:autoSpaceDE w:val="0"/>
        <w:widowControl/>
        <w:spacing w:line="254" w:lineRule="exact" w:before="238" w:after="0"/>
        <w:ind w:left="0" w:right="20" w:firstLine="442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Externalities: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accounting for externalities associated with the extraction of minerals and/or the use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these resources can be important for correctly identifying criticality. These externalities can be local,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regional or global and are not necessarily internalised by regulators. An example of a local externality is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radioactive by-products of REE processing. In these cases, accounting for environmental costs might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 necessary. Taking account of these externalities can threaten supply and increase minerals production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costs, and consequently influence the location of their production. Variations across countries in standards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of environmental protection could thus explain why some countries specialise themselves in highly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polluting minerals extraction. Most studies recognise the importance of externalities. The European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Commission (2010) study considered environmental risk as a separate dimension of criticality, though it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was dropped in the 2014 study as it did not change results. The US study (National Resource Council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National Academies, 2008) considered an environmental availability parameter as one criterion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availability and the UK study (Oakdene Hollins, 2008) accounted for both Global Warming Potential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risk and vulnerability to the effects of climate change in key supplying regions as a part of supply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risk. </w:t>
      </w:r>
    </w:p>
    <w:p>
      <w:pPr>
        <w:autoSpaceDN w:val="0"/>
        <w:autoSpaceDE w:val="0"/>
        <w:widowControl/>
        <w:spacing w:line="290" w:lineRule="exact" w:before="852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44</w:t>
      </w:r>
    </w:p>
    <w:p>
      <w:pPr>
        <w:sectPr>
          <w:pgSz w:w="11906" w:h="16838"/>
          <w:pgMar w:top="612" w:right="1172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6. CONCLUSION </w:t>
      </w:r>
    </w:p>
    <w:p>
      <w:pPr>
        <w:autoSpaceDN w:val="0"/>
        <w:autoSpaceDE w:val="0"/>
        <w:widowControl/>
        <w:spacing w:line="254" w:lineRule="exact" w:before="714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purpose of this report has been to analyse critical minerals for the OECD countries as a whole,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today and in 2030. The analysis identified around 12 to 20 minerals or mineral groups, which are critical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 OECD today. Minerals like the rare earth elements (heavy and light), germanium and natural graphite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have a particularly high supply risk, while minerals such as barytes, tungsten and vanadium are particularly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economically important. </w:t>
      </w:r>
    </w:p>
    <w:p>
      <w:pPr>
        <w:autoSpaceDN w:val="0"/>
        <w:autoSpaceDE w:val="0"/>
        <w:widowControl/>
        <w:spacing w:line="252" w:lineRule="exact" w:before="238" w:after="0"/>
        <w:ind w:left="0" w:right="20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While it is beyond the scope of this report to assess which minerals are critical for OECD countries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individually, the analysis was broken down for the EU, Japan and the United States and found at most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small differences between these countries/regions individually and the OECD on aggregate. The one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exception was barytes, the significant economic importance of which is due to its use in the oil and gas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industry in the United States. </w:t>
      </w:r>
    </w:p>
    <w:p>
      <w:pPr>
        <w:autoSpaceDN w:val="0"/>
        <w:autoSpaceDE w:val="0"/>
        <w:widowControl/>
        <w:spacing w:line="252" w:lineRule="exact" w:before="240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Using an alternative measure of the concentration of production that accounts for physical constraints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to minerals extraction (i.e. the production-to-reserves ratio), the report found that antimony has a much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higher supply risk in the OECD today, while the group of heavy rare earth elements has a much lower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supply risk. </w:t>
      </w:r>
    </w:p>
    <w:p>
      <w:pPr>
        <w:autoSpaceDN w:val="0"/>
        <w:autoSpaceDE w:val="0"/>
        <w:widowControl/>
        <w:spacing w:line="252" w:lineRule="exact" w:before="244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Looking out to 2030, a stronger role for the physical availability of reserves was assumed in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determining where production takes place and the analysis found that the supply risk attending to barytes,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borate, phosphate rock and molybdenum consequently increases. It was found that economic development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along a baseline scenario that assumes continued reliance on fossil fuels for energy does not change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significantly the pattern of economic importance of the various minerals concerned. Future work should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evaluate whether this also holds true for a pathway towards green, low-carbon growth. </w:t>
      </w:r>
    </w:p>
    <w:p>
      <w:pPr>
        <w:autoSpaceDN w:val="0"/>
        <w:autoSpaceDE w:val="0"/>
        <w:widowControl/>
        <w:spacing w:line="254" w:lineRule="exact" w:before="240" w:after="0"/>
        <w:ind w:left="0" w:right="0" w:firstLine="4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Lastly the report showed what improvements in the substitutability of minerals and in their recycling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rates would be sufficient today and more importantly by 2030 to mitigate supply risks and vulnerability to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them. This could be a focus for public support for R&amp;D in the OECD. The results were highly mineral-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specific, with some minerals requiring huge increases in substitutability and/or recycling from a low base,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while others require only small improvements. </w:t>
      </w:r>
    </w:p>
    <w:p>
      <w:pPr>
        <w:autoSpaceDN w:val="0"/>
        <w:autoSpaceDE w:val="0"/>
        <w:widowControl/>
        <w:spacing w:line="254" w:lineRule="exact" w:before="238" w:after="0"/>
        <w:ind w:left="0" w:right="22" w:firstLine="4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There are numerous limitations to this analysis and it should consequently be seen as exploratory.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Measuring economic importance convincingly on the one hand and systematically for large numbers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minerals across many countries on the other hand, appears vital. This and other limitations essentially stem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from a severe shortage of data on minerals supply and use, which makes a systematic comparison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criticality across a wide range of minerals very difficult to achieve. Therefore a key conclusion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report is that there is an urgent need to improve the availability to researchers and public policy-makers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data on the main components of minerals supply risk and use, globally. </w:t>
      </w:r>
    </w:p>
    <w:p>
      <w:pPr>
        <w:autoSpaceDN w:val="0"/>
        <w:autoSpaceDE w:val="0"/>
        <w:widowControl/>
        <w:spacing w:line="290" w:lineRule="exact" w:before="305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45</w:t>
      </w:r>
    </w:p>
    <w:p>
      <w:pPr>
        <w:sectPr>
          <w:pgSz w:w="11906" w:h="16838"/>
          <w:pgMar w:top="612" w:right="117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REFERENCES </w:t>
      </w:r>
    </w:p>
    <w:p>
      <w:pPr>
        <w:autoSpaceDN w:val="0"/>
        <w:tabs>
          <w:tab w:pos="568" w:val="left"/>
        </w:tabs>
        <w:autoSpaceDE w:val="0"/>
        <w:widowControl/>
        <w:spacing w:line="332" w:lineRule="exact" w:before="640" w:after="0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Reports and papers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Behrend, S., M. Scharp and L. Erdmann, 2007, Rare Metals: Measures and concepts for the solution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problem of conflict-aggravating raw material extraction – the example of Coltan. Institute for Future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Studies and Technology Assessment, Dessau. </w:t>
      </w:r>
    </w:p>
    <w:p>
      <w:pPr>
        <w:autoSpaceDN w:val="0"/>
        <w:tabs>
          <w:tab w:pos="568" w:val="left"/>
        </w:tabs>
        <w:autoSpaceDE w:val="0"/>
        <w:widowControl/>
        <w:spacing w:line="382" w:lineRule="exact" w:before="1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Cathles, L. M., 2010, ‘A path forward’, SEG Newsletter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83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DERA, 2012, Energy Study 2012: Reserves, Resources and Availability of Energy Resources. German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Mineral Resources Agency (DERA), Hannover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Erdmann, L. and T. E. Graedel, 2011, ‘Criticality of non-fuel minerals: a review of major approaches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analyzes’, Environmental Science and Technology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45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7620-7630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European Commission, 2010, Critical Raw Materials for the EU: Report of the Ad-hoc Working Group 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defining critical raw materials. DG Enterprise and Industry. Brussels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European Commission, 2014, Report on Critical Raw Materials for the EU: Report of the Ad hoc Working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Group on defining critical raw materials. DG Enterprise and Industry, Brussels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Graedel, T. E. and B. R. Allenby, 2010, Industrial Ecology and Sustainable Engineering, Prentice Hall,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Michigan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Graedel, T. E., J. Allwood et al., 2011, ‘What do we know about metal recycling rates?’, Journal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Industrial Ecology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15(3)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355-366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Graedel, T. E., R. Barr et al., 2012, ‘Methodology of metal criticality determination’, Environmental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Science and Technology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46(2)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: 1063-1070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Harper, E. M., G. Kavlak et al., forthcoming, ‘Criticality of the geological zinc, tin, and lead family’,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Journal of Industrial Ecology, DOI: 10.1111/jiec.12213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Krausmann, F., S. Gingrich et al., 2009, ‘Growth in global materials use, GDP and population during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20th century’, Ecological Economics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68(10)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2696-2705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National Resource Council of the National Academies, 2008, Minerals, Critical Minerals, and the US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Economy, Washington, DC, National Academies Press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Nassar, N. T., R. Barr et al., 2012, ‘Criticality of the geological copper family’, Environmental Science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Technology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46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1071-1076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Nuss, P., E. M. Harper et al., 2014, ‘Criticality of iron and its principal alloying elements’, Environmental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Science and Technology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48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4171-4177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Oakdene Hollins, 2008, Material Security: Ensuring Resource Availability for the UK Economy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U.S. Geological Survey, 2012, Minerals Yearbook 2010 </w:t>
      </w:r>
    </w:p>
    <w:p>
      <w:pPr>
        <w:autoSpaceDN w:val="0"/>
        <w:autoSpaceDE w:val="0"/>
        <w:widowControl/>
        <w:spacing w:line="290" w:lineRule="exact" w:before="66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46</w:t>
      </w:r>
    </w:p>
    <w:p>
      <w:pPr>
        <w:sectPr>
          <w:pgSz w:w="11906" w:h="16838"/>
          <w:pgMar w:top="612" w:right="1188" w:bottom="616" w:left="11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tabs>
          <w:tab w:pos="566" w:val="left"/>
        </w:tabs>
        <w:autoSpaceDE w:val="0"/>
        <w:widowControl/>
        <w:spacing w:line="252" w:lineRule="exact" w:before="486" w:after="0"/>
        <w:ind w:left="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Waeger, P., D. J. Lang et al., 2012, ‘Towards a more sustainable use of scarce metals: a review of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intervention options along the metals life cycle’, Gaia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21(4)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: 300-309 </w:t>
      </w:r>
    </w:p>
    <w:p>
      <w:pPr>
        <w:autoSpaceDN w:val="0"/>
        <w:autoSpaceDE w:val="0"/>
        <w:widowControl/>
        <w:spacing w:line="294" w:lineRule="exact" w:before="20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Websites </w:t>
      </w:r>
    </w:p>
    <w:p>
      <w:pPr>
        <w:autoSpaceDN w:val="0"/>
        <w:tabs>
          <w:tab w:pos="566" w:val="left"/>
        </w:tabs>
        <w:autoSpaceDE w:val="0"/>
        <w:widowControl/>
        <w:spacing w:line="252" w:lineRule="exact" w:before="238" w:after="0"/>
        <w:ind w:left="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The O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34" w:history="1">
          <w:r>
            <w:rPr>
              <w:rStyle w:val="Hyperlink"/>
            </w:rPr>
            <w:t xml:space="preserve">pen Market Index (OMI, 2014) from the International Chamber of Commerce </w:t>
          </w:r>
        </w:hyperlink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hyperlink r:id="rId34" w:history="1">
          <w:r>
            <w:rPr>
              <w:rStyle w:val="Hyperlink"/>
            </w:rPr>
            <w:t>www.iccwbo.org/global-influence/g20/reports-and-products/open-markets-index/</w:t>
          </w:r>
        </w:hyperlink>
      </w:r>
    </w:p>
    <w:p>
      <w:pPr>
        <w:autoSpaceDN w:val="0"/>
        <w:tabs>
          <w:tab w:pos="566" w:val="left"/>
        </w:tabs>
        <w:autoSpaceDE w:val="0"/>
        <w:widowControl/>
        <w:spacing w:line="252" w:lineRule="exact" w:before="242" w:after="0"/>
        <w:ind w:left="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Politi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35" w:history="1">
          <w:r>
            <w:rPr>
              <w:rStyle w:val="Hyperlink"/>
            </w:rPr>
            <w:t>cal Risk Services (PRS, 2012) from the International Country Risk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34" w:history="1">
          <w:r>
            <w:rPr>
              <w:rStyle w:val="Hyperlink"/>
            </w:rPr>
            <w:t xml:space="preserve"> Guide (ICRG) </w:t>
          </w:r>
        </w:hyperlink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hyperlink r:id="rId35" w:history="1">
          <w:r>
            <w:rPr>
              <w:rStyle w:val="Hyperlink"/>
            </w:rPr>
            <w:t xml:space="preserve">https://www.prsgroup.com/about-us/our-two-methodologies/icrg </w:t>
          </w:r>
        </w:hyperlink>
      </w:r>
    </w:p>
    <w:p>
      <w:pPr>
        <w:autoSpaceDN w:val="0"/>
        <w:tabs>
          <w:tab w:pos="566" w:val="left"/>
        </w:tabs>
        <w:autoSpaceDE w:val="0"/>
        <w:widowControl/>
        <w:spacing w:line="252" w:lineRule="exact" w:before="242" w:after="0"/>
        <w:ind w:left="0" w:right="345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Miner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35" w:history="1">
          <w:r>
            <w:rPr>
              <w:rStyle w:val="Hyperlink"/>
            </w:rPr>
            <w:t xml:space="preserve">al profiles from the U.S. Geological Survey </w:t>
          </w:r>
        </w:hyperlink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hyperlink r:id="rId36" w:history="1">
          <w:r>
            <w:rPr>
              <w:rStyle w:val="Hyperlink"/>
            </w:rPr>
            <w:t xml:space="preserve">http://minerals.usgs.gov/minerals/pubs/commodity/mcp.html </w:t>
          </w:r>
        </w:hyperlink>
      </w:r>
    </w:p>
    <w:p>
      <w:pPr>
        <w:autoSpaceDN w:val="0"/>
        <w:tabs>
          <w:tab w:pos="566" w:val="left"/>
        </w:tabs>
        <w:autoSpaceDE w:val="0"/>
        <w:widowControl/>
        <w:spacing w:line="254" w:lineRule="exact" w:before="238" w:after="0"/>
        <w:ind w:left="0" w:right="345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World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hyperlink r:id="rId37" w:history="1">
          <w:r>
            <w:rPr>
              <w:rStyle w:val="Hyperlink"/>
            </w:rPr>
            <w:t xml:space="preserve"> Government Indicators (WGI, 2014) from the World Bank </w:t>
          </w:r>
        </w:hyperlink>
      </w:r>
      <w:r>
        <w:rPr>
          <w:rFonts w:ascii="TimesNewRomanPS" w:hAnsi="TimesNewRomanPS" w:eastAsia="TimesNewRomanPS"/>
          <w:b w:val="0"/>
          <w:i/>
          <w:color w:val="000000"/>
          <w:sz w:val="22"/>
        </w:rPr>
        <w:hyperlink r:id="rId37" w:history="1">
          <w:r>
            <w:rPr>
              <w:rStyle w:val="Hyperlink"/>
            </w:rPr>
            <w:t xml:space="preserve">http://info.worldbank.org/governance/wgi/index.aspx#home </w:t>
          </w:r>
        </w:hyperlink>
      </w:r>
    </w:p>
    <w:p>
      <w:pPr>
        <w:autoSpaceDN w:val="0"/>
        <w:autoSpaceDE w:val="0"/>
        <w:widowControl/>
        <w:spacing w:line="290" w:lineRule="exact" w:before="933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47</w:t>
      </w:r>
    </w:p>
    <w:p>
      <w:pPr>
        <w:sectPr>
          <w:pgSz w:w="11906" w:h="16838"/>
          <w:pgMar w:top="612" w:right="1230" w:bottom="616" w:left="11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0"/>
        <w:ind w:left="1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p>
      <w:pPr>
        <w:autoSpaceDN w:val="0"/>
        <w:autoSpaceDE w:val="0"/>
        <w:widowControl/>
        <w:spacing w:line="294" w:lineRule="exact" w:before="448" w:after="0"/>
        <w:ind w:left="0" w:right="392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APPENDIX </w:t>
      </w:r>
    </w:p>
    <w:p>
      <w:pPr>
        <w:autoSpaceDN w:val="0"/>
        <w:autoSpaceDE w:val="0"/>
        <w:widowControl/>
        <w:spacing w:line="252" w:lineRule="exact" w:before="680" w:after="216"/>
        <w:ind w:left="0" w:right="2588" w:firstLine="0"/>
        <w:jc w:val="righ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Table 6. Supply risk values for all minerals.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878"/>
        <w:gridCol w:w="1878"/>
        <w:gridCol w:w="1878"/>
        <w:gridCol w:w="1878"/>
        <w:gridCol w:w="1878"/>
      </w:tblGrid>
      <w:tr>
        <w:trPr>
          <w:trHeight w:hRule="exact" w:val="56"/>
        </w:trPr>
        <w:tc>
          <w:tcPr>
            <w:tcW w:type="dxa" w:w="8790"/>
            <w:gridSpan w:val="5"/>
            <w:tcBorders>
              <w:top w:sz="3.2000000000000455" w:val="single" w:color="#000000"/>
              <w:bottom w:sz="41.600000000000136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"/>
        </w:trPr>
        <w:tc>
          <w:tcPr>
            <w:tcW w:type="dxa" w:w="8790"/>
            <w:gridSpan w:val="5"/>
            <w:tcBorders>
              <w:top w:sz="41.600000000000136" w:val="single" w:color="#FFFFFF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5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Mineral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268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Supply risk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28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Recycling rate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6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Substitutability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28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Political risk (HHI)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Aluminium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0.35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0.63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1.23 </w:t>
            </w:r>
          </w:p>
        </w:tc>
      </w:tr>
      <w:tr>
        <w:trPr>
          <w:trHeight w:hRule="exact" w:val="312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Antimony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0.11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4.24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Barytes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1.5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1.55 </w:t>
            </w:r>
          </w:p>
        </w:tc>
      </w:tr>
      <w:tr>
        <w:trPr>
          <w:trHeight w:hRule="exact" w:val="308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Bauxite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0.93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0.58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Bentonite </w:t>
            </w:r>
          </w:p>
        </w:tc>
        <w:tc>
          <w:tcPr>
            <w:tcW w:type="dxa" w:w="142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 </w:t>
            </w:r>
          </w:p>
        </w:tc>
        <w:tc>
          <w:tcPr>
            <w:tcW w:type="dxa" w:w="1700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0.55 </w:t>
            </w:r>
          </w:p>
        </w:tc>
        <w:tc>
          <w:tcPr>
            <w:tcW w:type="dxa" w:w="21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Beryllium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1.4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0.19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0.85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1.99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Borate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1.30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Chromium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0.13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0.96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1.27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Clays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0.24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Cobalt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2.2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0.16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0.71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3.76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Coking coal </w:t>
            </w:r>
          </w:p>
        </w:tc>
        <w:tc>
          <w:tcPr>
            <w:tcW w:type="dxa" w:w="1420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 </w:t>
            </w:r>
          </w:p>
        </w:tc>
        <w:tc>
          <w:tcPr>
            <w:tcW w:type="dxa" w:w="1700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0.68 </w:t>
            </w:r>
          </w:p>
        </w:tc>
        <w:tc>
          <w:tcPr>
            <w:tcW w:type="dxa" w:w="212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1.42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Copper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0.43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Diatomite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0.33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0.88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Feldspar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0.75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Fluorspar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2.59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Gallium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2.09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Germanium </w:t>
            </w:r>
          </w:p>
        </w:tc>
        <w:tc>
          <w:tcPr>
            <w:tcW w:type="dxa" w:w="1420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3.6 </w:t>
            </w:r>
          </w:p>
        </w:tc>
        <w:tc>
          <w:tcPr>
            <w:tcW w:type="dxa" w:w="1700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0.86 </w:t>
            </w:r>
          </w:p>
        </w:tc>
        <w:tc>
          <w:tcPr>
            <w:tcW w:type="dxa" w:w="212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4.20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Gold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0.25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Gypsum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Hafnium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1.14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Indium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1.6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1.97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Iron ore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0.22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0.84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1.37 </w:t>
            </w:r>
          </w:p>
        </w:tc>
      </w:tr>
      <w:tr>
        <w:trPr>
          <w:trHeight w:hRule="exact" w:val="308"/>
        </w:trPr>
        <w:tc>
          <w:tcPr>
            <w:tcW w:type="dxa" w:w="184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Limestone </w:t>
            </w:r>
          </w:p>
        </w:tc>
        <w:tc>
          <w:tcPr>
            <w:tcW w:type="dxa" w:w="142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 </w:t>
            </w:r>
          </w:p>
        </w:tc>
        <w:tc>
          <w:tcPr>
            <w:tcW w:type="dxa" w:w="170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0.75 </w:t>
            </w:r>
          </w:p>
        </w:tc>
        <w:tc>
          <w:tcPr>
            <w:tcW w:type="dxa" w:w="212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0.49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Lithium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Magnesite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1.9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2.71 </w:t>
            </w:r>
          </w:p>
        </w:tc>
      </w:tr>
      <w:tr>
        <w:trPr>
          <w:trHeight w:hRule="exact" w:val="312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Magnesium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2.4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0.14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0.64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4.42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Manganese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0.19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0.94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0.88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Molybdenum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0.17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1.28 </w:t>
            </w:r>
          </w:p>
        </w:tc>
      </w:tr>
      <w:tr>
        <w:trPr>
          <w:trHeight w:hRule="exact" w:val="308"/>
        </w:trPr>
        <w:tc>
          <w:tcPr>
            <w:tcW w:type="dxa" w:w="184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Natural Graphite </w:t>
            </w:r>
          </w:p>
        </w:tc>
        <w:tc>
          <w:tcPr>
            <w:tcW w:type="dxa" w:w="142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3.2 </w:t>
            </w:r>
          </w:p>
        </w:tc>
        <w:tc>
          <w:tcPr>
            <w:tcW w:type="dxa" w:w="170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0.72 </w:t>
            </w:r>
          </w:p>
        </w:tc>
        <w:tc>
          <w:tcPr>
            <w:tcW w:type="dxa" w:w="212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4.50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Nickel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0.32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0.49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Niobium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2.6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0.11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0.69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4.26 </w:t>
            </w:r>
          </w:p>
        </w:tc>
      </w:tr>
      <w:tr>
        <w:trPr>
          <w:trHeight w:hRule="exact" w:val="312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Perlite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0.78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PGMs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0.35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0.83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2.10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Phosphate Rock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1.4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0.98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1.41 </w:t>
            </w:r>
          </w:p>
        </w:tc>
      </w:tr>
      <w:tr>
        <w:trPr>
          <w:trHeight w:hRule="exact" w:val="308"/>
        </w:trPr>
        <w:tc>
          <w:tcPr>
            <w:tcW w:type="dxa" w:w="184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Potash </w:t>
            </w:r>
          </w:p>
        </w:tc>
        <w:tc>
          <w:tcPr>
            <w:tcW w:type="dxa" w:w="142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0.32 </w:t>
            </w:r>
          </w:p>
        </w:tc>
        <w:tc>
          <w:tcPr>
            <w:tcW w:type="dxa" w:w="212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0.52 </w:t>
            </w:r>
          </w:p>
        </w:tc>
      </w:tr>
    </w:tbl>
    <w:p>
      <w:pPr>
        <w:autoSpaceDN w:val="0"/>
        <w:autoSpaceDE w:val="0"/>
        <w:widowControl/>
        <w:spacing w:line="290" w:lineRule="exact" w:before="592" w:after="0"/>
        <w:ind w:left="0" w:right="443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48</w:t>
      </w:r>
    </w:p>
    <w:p>
      <w:pPr>
        <w:sectPr>
          <w:pgSz w:w="11906" w:h="16838"/>
          <w:pgMar w:top="612" w:right="1440" w:bottom="616" w:left="107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autoSpaceDN w:val="0"/>
        <w:autoSpaceDE w:val="0"/>
        <w:widowControl/>
        <w:spacing w:line="290" w:lineRule="exact" w:before="0" w:after="47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ENV/WKP(2015)12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920"/>
        <w:gridCol w:w="1920"/>
        <w:gridCol w:w="1920"/>
        <w:gridCol w:w="1920"/>
        <w:gridCol w:w="1920"/>
      </w:tblGrid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REE (Heavy)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4.6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0.77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5.99 </w:t>
            </w:r>
          </w:p>
        </w:tc>
      </w:tr>
      <w:tr>
        <w:trPr>
          <w:trHeight w:hRule="exact" w:val="308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REE (Light)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3.1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0.67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4.64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Rhenium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0.13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0.94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1.03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Scandium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0.01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0.34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3.28 </w:t>
            </w:r>
          </w:p>
        </w:tc>
      </w:tr>
      <w:tr>
        <w:trPr>
          <w:trHeight w:hRule="exact" w:val="308"/>
        </w:trPr>
        <w:tc>
          <w:tcPr>
            <w:tcW w:type="dxa" w:w="18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Selenium </w:t>
            </w:r>
          </w:p>
        </w:tc>
        <w:tc>
          <w:tcPr>
            <w:tcW w:type="dxa" w:w="142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 </w:t>
            </w:r>
          </w:p>
        </w:tc>
        <w:tc>
          <w:tcPr>
            <w:tcW w:type="dxa" w:w="1700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0.05 </w:t>
            </w:r>
          </w:p>
        </w:tc>
        <w:tc>
          <w:tcPr>
            <w:tcW w:type="dxa" w:w="170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0.48 </w:t>
            </w:r>
          </w:p>
        </w:tc>
        <w:tc>
          <w:tcPr>
            <w:tcW w:type="dxa" w:w="21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0.47 </w:t>
            </w:r>
          </w:p>
        </w:tc>
      </w:tr>
      <w:tr>
        <w:trPr>
          <w:trHeight w:hRule="exact" w:val="312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Silica sand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0.24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Silicon metal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1.6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0.81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2.02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Silver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0.24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0.72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0.55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Talc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0.39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0.71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Tantalum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0.04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0.55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1.06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Tellurium </w:t>
            </w:r>
          </w:p>
        </w:tc>
        <w:tc>
          <w:tcPr>
            <w:tcW w:type="dxa" w:w="142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700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0.44 </w:t>
            </w:r>
          </w:p>
        </w:tc>
        <w:tc>
          <w:tcPr>
            <w:tcW w:type="dxa" w:w="21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Tin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0.11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1.64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Titanium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0.1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0.06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0.33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0.33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Tungsten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1.9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0.37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0.7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4.22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Vanadium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1.0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0.46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d2dfe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2.24 </w:t>
            </w:r>
          </w:p>
        </w:tc>
      </w:tr>
      <w:tr>
        <w:trPr>
          <w:trHeight w:hRule="exact" w:val="310"/>
        </w:trPr>
        <w:tc>
          <w:tcPr>
            <w:tcW w:type="dxa" w:w="184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0"/>
              </w:rPr>
              <w:t xml:space="preserve">Zinc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 </w:t>
            </w:r>
          </w:p>
        </w:tc>
        <w:tc>
          <w:tcPr>
            <w:tcW w:type="dxa" w:w="170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0.08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5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0.66 </w:t>
            </w:r>
          </w:p>
        </w:tc>
        <w:tc>
          <w:tcPr>
            <w:tcW w:type="dxa" w:w="212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0" w:right="6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0.95 </w:t>
            </w:r>
          </w:p>
        </w:tc>
      </w:tr>
    </w:tbl>
    <w:p>
      <w:pPr>
        <w:autoSpaceDN w:val="0"/>
        <w:autoSpaceDE w:val="0"/>
        <w:widowControl/>
        <w:spacing w:line="290" w:lineRule="exact" w:before="8362" w:after="0"/>
        <w:ind w:left="0" w:right="46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49</w:t>
      </w:r>
    </w:p>
    <w:sectPr w:rsidR="00FC693F" w:rsidRPr="0006063C" w:rsidSect="00034616">
      <w:pgSz w:w="11906" w:h="16838"/>
      <w:pgMar w:top="612" w:right="1230" w:bottom="616" w:left="1078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mailto:env.contact@oecd.org" TargetMode="External"/><Relationship Id="rId12" Type="http://schemas.openxmlformats.org/officeDocument/2006/relationships/hyperlink" Target="http://www.oecd.org/environment/workingpapers.htm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hyperlink" Target="http://www.iccwbo.org/global-influence/g20/reports-and-products/open-markets-index/" TargetMode="External"/><Relationship Id="rId35" Type="http://schemas.openxmlformats.org/officeDocument/2006/relationships/hyperlink" Target="https://www.prsgroup.com/about-us/our-two-methodologies/icrg" TargetMode="External"/><Relationship Id="rId36" Type="http://schemas.openxmlformats.org/officeDocument/2006/relationships/hyperlink" Target="http://minerals.usgs.gov/minerals/pubs/commodity/mcp.html" TargetMode="External"/><Relationship Id="rId37" Type="http://schemas.openxmlformats.org/officeDocument/2006/relationships/hyperlink" Target="http://info.worldbank.org/governance/wgi/index.aspx%23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