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4"/>
        <w:ind w:left="0" w:right="0"/>
      </w:pPr>
    </w:p>
    <w:p>
      <w:pPr>
        <w:autoSpaceDN w:val="0"/>
        <w:autoSpaceDE w:val="0"/>
        <w:widowControl/>
        <w:spacing w:line="458" w:lineRule="exact" w:before="94" w:after="0"/>
        <w:ind w:left="144" w:right="0" w:firstLine="0"/>
        <w:jc w:val="center"/>
      </w:pPr>
      <w:r>
        <w:rPr>
          <w:rFonts w:ascii="Arial" w:hAnsi="Arial" w:eastAsia="Arial"/>
          <w:b/>
          <w:i w:val="0"/>
        </w:rPr>
        <w:t xml:space="preserve">Critical minerals today and in 2030: an analysis </w:t>
      </w:r>
    </w:p>
    <w:p>
      <w:pPr>
        <w:sectPr>
          <w:pgSz w:w="11906" w:h="16841"/>
          <w:pgMar w:top="1440" w:right="11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56" w:after="0"/>
        <w:ind w:left="358" w:right="288" w:firstLine="0"/>
        <w:jc w:val="left"/>
      </w:pPr>
      <w:r>
        <w:rPr>
          <w:rFonts w:ascii="Arial" w:hAnsi="Arial" w:eastAsia="Arial"/>
          <w:b/>
          <w:i w:val="0"/>
        </w:rPr>
        <w:t>The Centre for Climate Change Economics and Policy (CCCEP)</w:t>
      </w:r>
    </w:p>
    <w:p>
      <w:pPr>
        <w:sectPr>
          <w:pgSz w:w="11906" w:h="16841"/>
          <w:pgMar w:top="700" w:right="144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4"/>
        <w:ind w:left="0" w:right="0"/>
      </w:pPr>
    </w:p>
    <w:p>
      <w:pPr>
        <w:autoSpaceDN w:val="0"/>
        <w:tabs>
          <w:tab w:pos="7854" w:val="left"/>
        </w:tabs>
        <w:autoSpaceDE w:val="0"/>
        <w:widowControl/>
        <w:spacing w:line="332" w:lineRule="exact" w:before="0" w:after="0"/>
        <w:ind w:left="770" w:right="0" w:firstLine="0"/>
        <w:jc w:val="left"/>
      </w:pPr>
      <w:r>
        <w:rPr>
          <w:rFonts w:ascii="TimesNewRomanPS" w:hAnsi="TimesNewRomanPS" w:eastAsia="TimesNewRomanPS"/>
          <w:b/>
          <w:i w:val="0"/>
        </w:rPr>
        <w:t xml:space="preserve">Unclassified </w:t>
      </w:r>
    </w:p>
    <w:p>
      <w:pPr>
        <w:sectPr>
          <w:pgSz w:w="11906" w:h="16838"/>
          <w:pgMar w:top="482" w:right="510" w:bottom="8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282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78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2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226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24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226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10" w:bottom="620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136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14" w:bottom="620" w:left="10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2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78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2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2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78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2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47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106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44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386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78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2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2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23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44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386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44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78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2" w:bottom="620" w:left="11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2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8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7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188" w:bottom="620" w:left="11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230" w:bottom="620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p>
      <w:pPr>
        <w:sectPr>
          <w:pgSz w:w="11906" w:h="16838"/>
          <w:pgMar w:top="608" w:right="1440" w:bottom="620" w:left="10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6" w:lineRule="exact" w:before="0" w:after="26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</w:rPr>
        <w:t xml:space="preserve">ENV/WKP(2015)12 </w:t>
      </w:r>
    </w:p>
    <w:sectPr w:rsidR="00FC693F" w:rsidRPr="0006063C" w:rsidSect="00034616">
      <w:pgSz w:w="11906" w:h="16838"/>
      <w:pgMar w:top="608" w:right="1230" w:bottom="620" w:left="107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