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08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64.0" w:type="dxa"/>
      </w:tblPr>
      <w:tblGrid>
        <w:gridCol w:w="9026"/>
      </w:tblGrid>
      <w:tr>
        <w:trPr>
          <w:trHeight w:hRule="exact" w:val="662"/>
        </w:trPr>
        <w:tc>
          <w:tcPr>
            <w:tcW w:type="dxa" w:w="78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0" w:lineRule="exact" w:before="0" w:after="0"/>
              <w:ind w:left="204" w:right="0" w:firstLine="0"/>
              <w:jc w:val="left"/>
            </w:pPr>
            <w:r>
              <w:rPr>
                <w:rFonts w:ascii="HelveticaNeueLTStd" w:hAnsi="HelveticaNeueLTStd" w:eastAsia="HelveticaNeueLTStd"/>
                <w:b w:val="0"/>
                <w:i w:val="0"/>
              </w:rPr>
              <w:t>Responsible business conduct</w:t>
            </w:r>
          </w:p>
        </w:tc>
      </w:tr>
    </w:tbl>
    <w:p>
      <w:pPr>
        <w:sectPr>
          <w:pgSz w:w="11906" w:h="16838"/>
          <w:pgMar w:top="828" w:right="0" w:bottom="788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32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73480" cy="167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67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31840" cy="147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33109" cy="1485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3109" cy="14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28030" cy="14731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8030" cy="147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455670" cy="1473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34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44800" cy="1676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67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83580" cy="14858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48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31840" cy="1473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30570" cy="1473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30570" cy="1485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0570" cy="148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8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653280" cy="1473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730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89989" cy="16763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9989" cy="167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31840" cy="14731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1473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25490" cy="14858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148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819140" cy="1473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914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6" w:after="174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04060" cy="1473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3157"/>
        <w:gridCol w:w="3157"/>
        <w:gridCol w:w="3157"/>
      </w:tblGrid>
      <w:tr>
        <w:trPr>
          <w:trHeight w:hRule="exact" w:val="312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93369" cy="147319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69" cy="147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98780" cy="147319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780" cy="147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123180" cy="147319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180" cy="147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0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79500" cy="1473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7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34" w:after="0"/>
        <w:ind w:left="21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51450" cy="14858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148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58" w:val="left"/>
        </w:tabs>
        <w:autoSpaceDE w:val="0"/>
        <w:widowControl/>
        <w:spacing w:line="240" w:lineRule="auto" w:before="1030" w:after="478"/>
        <w:ind w:left="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90220" cy="32766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220" cy="32766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Calibri" w:hAnsi="Calibri" w:eastAsia="Calibri"/>
          <w:b w:val="0"/>
          <w:i w:val="0"/>
        </w:rPr>
        <w:t>Cofunded by the European Union</w:t>
      </w:r>
    </w:p>
    <w:p>
      <w:pPr>
        <w:sectPr>
          <w:pgSz w:w="11906" w:h="16838"/>
          <w:pgMar w:top="1440" w:right="1206" w:bottom="1068" w:left="123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 Table of Contents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9480" cy="2133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213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488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The OECD Due Diligence Guidance for Responsible Supply Chains of Minerals from Conflict-Affected </w:t>
      </w:r>
    </w:p>
    <w:p>
      <w:pPr>
        <w:sectPr>
          <w:pgSz w:w="11906" w:h="16838"/>
          <w:pgMar w:top="720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162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57680" cy="2133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57680" cy="2133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2"/>
        <w:gridCol w:w="4552"/>
      </w:tblGrid>
      <w:tr>
        <w:trPr>
          <w:trHeight w:hRule="exact" w:val="11422"/>
        </w:trPr>
        <w:tc>
          <w:tcPr>
            <w:tcW w:type="dxa" w:w="58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</w:rPr>
              <w:t></w:t>
            </w:r>
          </w:p>
        </w:tc>
        <w:tc>
          <w:tcPr>
            <w:tcW w:type="dxa" w:w="4552"/>
          </w:tcPr>
          <w:p/>
        </w:tc>
      </w:tr>
    </w:tbl>
    <w:p>
      <w:pPr>
        <w:sectPr>
          <w:pgSz w:w="11906" w:h="16838"/>
          <w:pgMar w:top="720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552"/>
        <w:gridCol w:w="4552"/>
      </w:tblGrid>
      <w:tr>
        <w:trPr>
          <w:trHeight w:hRule="exact" w:val="400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</w:rPr>
              <w:t></w:t>
            </w:r>
          </w:p>
        </w:tc>
        <w:tc>
          <w:tcPr>
            <w:tcW w:type="dxa" w:w="4552"/>
          </w:tcPr>
          <w:p/>
        </w:tc>
      </w:tr>
    </w:tbl>
    <w:p>
      <w:pPr>
        <w:sectPr>
          <w:pgSz w:w="11906" w:h="16838"/>
          <w:pgMar w:top="71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79700" cy="2133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13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8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Gold mining in Colombia dates back to the fifth century B.C. and flourished until the sixteenth </w:t>
      </w:r>
    </w:p>
    <w:p>
      <w:pPr>
        <w:sectPr>
          <w:pgSz w:w="11906" w:h="16838"/>
          <w:pgMar w:top="720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50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>for only 17% of the total production (ANM, 2015).</w:t>
      </w:r>
    </w:p>
    <w:p>
      <w:pPr>
        <w:sectPr>
          <w:pgSz w:w="11906" w:h="16838"/>
          <w:pgMar w:top="70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</w:rPr>
        <w:t xml:space="preserve">Figure 1: Different types of mining in Colombia </w:t>
      </w:r>
    </w:p>
    <w:p>
      <w:pPr>
        <w:sectPr>
          <w:pgSz w:w="11906" w:h="16838"/>
          <w:pgMar w:top="704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28240" cy="15113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511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8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In addition to being informal, most of the gold is produced by small and mid-scale miners. Based on </w:t>
      </w:r>
    </w:p>
    <w:p>
      <w:pPr>
        <w:sectPr>
          <w:pgSz w:w="11906" w:h="16838"/>
          <w:pgMar w:top="720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/>
        </w:rPr>
        <w:t>Compra-ventas</w:t>
      </w:r>
    </w:p>
    <w:p>
      <w:pPr>
        <w:sectPr>
          <w:pgSz w:w="11906" w:h="16838"/>
          <w:pgMar w:top="844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</w:rPr>
        <w:t>Figure 4: The Gold Supply Chain in Colombia</w:t>
      </w:r>
    </w:p>
    <w:p>
      <w:pPr>
        <w:sectPr>
          <w:pgSz w:w="16838" w:h="11906"/>
          <w:pgMar w:top="74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870450" cy="42545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425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auto" w:before="0" w:after="0"/>
        <w:ind w:left="108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 Principal illegal armed groups and criminal organisations16</w:t>
      </w:r>
    </w:p>
    <w:p>
      <w:pPr>
        <w:sectPr>
          <w:pgSz w:w="11906" w:h="16838"/>
          <w:pgMar w:top="960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Police contends that the proceeds from illegal mining could be close to surpassing those from drug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30" w:firstLine="0"/>
        <w:jc w:val="both"/>
      </w:pPr>
      <w:r>
        <w:rPr>
          <w:rFonts w:ascii="Calibri" w:hAnsi="Calibri" w:eastAsia="Calibri"/>
          <w:b w:val="0"/>
          <w:i w:val="0"/>
        </w:rPr>
        <w:t xml:space="preserve">Paisas, Rastrojos, ERPAC (divided in two smaller factions) and Aguilas Negras. They have shown great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that some of those same routes are being used to bring equipment and supplies in for illegal mining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settled traditional informal miners over mining sites. Although legally constituted companies are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.000000000000114" w:type="dxa"/>
      </w:tblPr>
      <w:tblGrid>
        <w:gridCol w:w="9132"/>
      </w:tblGrid>
      <w:tr>
        <w:trPr>
          <w:trHeight w:hRule="exact" w:val="3518"/>
        </w:trPr>
        <w:tc>
          <w:tcPr>
            <w:tcW w:type="dxa" w:w="8850"/>
            <w:tcBorders>
              <w:start w:sz="12.0" w:val="single" w:color="#000000"/>
              <w:top w:sz="12.0" w:val="single" w:color="#000000"/>
              <w:end w:sz="12.0" w:val="single" w:color="#000000"/>
              <w:bottom w:sz="12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6" w:after="196"/>
              <w:ind w:left="136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</w:rPr>
              <w:t xml:space="preserve">Trade based money laundering </w:t>
            </w:r>
          </w:p>
        </w:tc>
      </w:tr>
    </w:tbl>
    <w:p>
      <w:pPr>
        <w:sectPr>
          <w:pgSz w:w="11906" w:h="16838"/>
          <w:pgMar w:top="892" w:right="1362" w:bottom="466" w:left="141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looking into cases of suspicious purchases through gold traders operating in free trade areas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2"/>
        <w:ind w:left="0" w:right="0"/>
      </w:pPr>
    </w:p>
    <w:p>
      <w:pPr>
        <w:autoSpaceDN w:val="0"/>
        <w:autoSpaceDE w:val="0"/>
        <w:widowControl/>
        <w:spacing w:line="197" w:lineRule="auto" w:before="0" w:after="200"/>
        <w:ind w:left="1878" w:right="0" w:firstLine="0"/>
        <w:jc w:val="left"/>
      </w:pPr>
      <w:r>
        <w:rPr>
          <w:rFonts w:ascii="Calibri" w:hAnsi="Calibri" w:eastAsia="Calibri"/>
          <w:b/>
          <w:i w:val="0"/>
        </w:rPr>
        <w:t>Figure 5: Typology based on case of an international trader investigated for operations between 2011 and 2013.</w:t>
      </w:r>
    </w:p>
    <w:p>
      <w:pPr>
        <w:sectPr>
          <w:pgSz w:w="16838" w:h="11906"/>
          <w:pgMar w:top="74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91080" cy="2133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213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47" w:lineRule="auto" w:before="248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</w:rPr>
        <w:t xml:space="preserve">This section examines the so-called ‘Annex II risks’ which are the risks companies should consider </w:t>
      </w:r>
    </w:p>
    <w:p>
      <w:pPr>
        <w:sectPr>
          <w:pgSz w:w="11906" w:h="16838"/>
          <w:pgMar w:top="960" w:right="1246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" w:firstLine="0"/>
        <w:jc w:val="both"/>
      </w:pPr>
      <w:r>
        <w:rPr>
          <w:rFonts w:ascii="Calibri" w:hAnsi="Calibri" w:eastAsia="Calibri"/>
          <w:b w:val="0"/>
          <w:i w:val="0"/>
        </w:rPr>
        <w:t xml:space="preserve">These types of operations are usually found in areas where a particular group has established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where the amount is based on percentages (Guiza, 2010; Massé and Camargo, 2012; Indepaz, 2012;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vulnerable to infiltration – or in some cases established by members of illegal armed groups,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0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</w:rPr>
        <w:t xml:space="preserve"> Financing illegal armed groups and serious human rights abuses</w:t>
      </w:r>
    </w:p>
    <w:p>
      <w:pPr>
        <w:sectPr>
          <w:pgSz w:w="11906" w:h="16838"/>
          <w:pgMar w:top="86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their purchases and pay royalties, it is difficult to trace if reported amounts coincide with gold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2"/>
        <w:ind w:left="0" w:right="0"/>
      </w:pPr>
    </w:p>
    <w:p>
      <w:pPr>
        <w:autoSpaceDN w:val="0"/>
        <w:autoSpaceDE w:val="0"/>
        <w:widowControl/>
        <w:spacing w:line="197" w:lineRule="auto" w:before="0" w:after="392"/>
        <w:ind w:left="2778" w:right="0" w:firstLine="0"/>
        <w:jc w:val="left"/>
      </w:pPr>
      <w:r>
        <w:rPr>
          <w:rFonts w:ascii="Calibri" w:hAnsi="Calibri" w:eastAsia="Calibri"/>
          <w:b/>
          <w:i w:val="0"/>
        </w:rPr>
        <w:t xml:space="preserve">Figure 6: Illegal armed groups, criminal organisations and their relations to the gold sector </w:t>
      </w:r>
    </w:p>
    <w:p>
      <w:pPr>
        <w:sectPr>
          <w:pgSz w:w="16838" w:h="11906"/>
          <w:pgMar w:top="73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720" w:right="0" w:firstLine="0"/>
        <w:jc w:val="left"/>
      </w:pPr>
      <w:r>
        <w:rPr>
          <w:rFonts w:ascii="Calibri" w:hAnsi="Calibri" w:eastAsia="Calibri"/>
          <w:b w:val="0"/>
          <w:i w:val="0"/>
        </w:rPr>
        <w:t xml:space="preserve"> Entry points for promoting the OECD Due diligence Guidance</w:t>
      </w:r>
    </w:p>
    <w:p>
      <w:pPr>
        <w:sectPr>
          <w:pgSz w:w="11906" w:h="16838"/>
          <w:pgMar w:top="710" w:right="1326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8" w:firstLine="0"/>
        <w:jc w:val="both"/>
      </w:pPr>
      <w:r>
        <w:rPr>
          <w:rFonts w:ascii="Calibri" w:hAnsi="Calibri" w:eastAsia="Calibri"/>
          <w:b w:val="0"/>
          <w:i w:val="0"/>
        </w:rPr>
        <w:t xml:space="preserve">still do not fit the requirements, and it could take time before they can apply to government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60780" cy="1498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60780" cy="149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52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Authorities acknowledge that security remains a concern when implementing formalisation </w:t>
      </w:r>
    </w:p>
    <w:p>
      <w:pPr>
        <w:sectPr>
          <w:pgSz w:w="11906" w:h="16838"/>
          <w:pgMar w:top="940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and royalties by companies and institutions. Already efforts like a new royalty payment tracking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grown exponentially,” and that neither the police nor local mayors had the necessary capacity to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0"/>
        <w:ind w:left="0" w:right="0"/>
      </w:pPr>
    </w:p>
    <w:p>
      <w:pPr>
        <w:autoSpaceDN w:val="0"/>
        <w:autoSpaceDE w:val="0"/>
        <w:widowControl/>
        <w:spacing w:line="197" w:lineRule="auto" w:before="0" w:after="254"/>
        <w:ind w:left="0" w:right="2608" w:firstLine="0"/>
        <w:jc w:val="right"/>
      </w:pPr>
      <w:r>
        <w:rPr>
          <w:rFonts w:ascii="Calibri" w:hAnsi="Calibri" w:eastAsia="Calibri"/>
          <w:b/>
          <w:i w:val="0"/>
        </w:rPr>
        <w:t xml:space="preserve">Figure 7: Prosecutions for illegal gold mining </w:t>
      </w:r>
    </w:p>
    <w:p>
      <w:pPr>
        <w:sectPr>
          <w:pgSz w:w="11906" w:h="16838"/>
          <w:pgMar w:top="740" w:right="1362" w:bottom="466" w:left="13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detailed risk assessments for operations in the mining and oil sectors. While not available to the </w:t>
      </w:r>
    </w:p>
    <w:p>
      <w:pPr>
        <w:sectPr>
          <w:pgSz w:w="11906" w:h="16838"/>
          <w:pgMar w:top="710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47570" cy="2133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133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48" w:after="0"/>
        <w:ind w:left="0" w:right="26" w:firstLine="0"/>
        <w:jc w:val="both"/>
      </w:pPr>
      <w:r>
        <w:rPr>
          <w:rFonts w:ascii="Calibri" w:hAnsi="Calibri" w:eastAsia="Calibri"/>
          <w:b w:val="0"/>
          <w:i w:val="0"/>
        </w:rPr>
        <w:t xml:space="preserve">While it is apparent that the supply chain in Colombia faces a number of risks and challenges, </w:t>
      </w:r>
    </w:p>
    <w:p>
      <w:pPr>
        <w:sectPr>
          <w:pgSz w:w="11906" w:h="16838"/>
          <w:pgMar w:top="720" w:right="1362" w:bottom="3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4552"/>
        <w:gridCol w:w="4552"/>
      </w:tblGrid>
      <w:tr>
        <w:trPr>
          <w:trHeight w:hRule="exact" w:val="7362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</w:rPr>
              <w:t></w:t>
            </w:r>
          </w:p>
        </w:tc>
        <w:tc>
          <w:tcPr>
            <w:tcW w:type="dxa" w:w="4552"/>
          </w:tcPr>
          <w:p/>
        </w:tc>
      </w:tr>
    </w:tbl>
    <w:p>
      <w:pPr>
        <w:sectPr>
          <w:pgSz w:w="11906" w:h="16838"/>
          <w:pgMar w:top="71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52"/>
        <w:gridCol w:w="4552"/>
      </w:tblGrid>
      <w:tr>
        <w:trPr>
          <w:trHeight w:hRule="exact" w:val="966"/>
        </w:trPr>
        <w:tc>
          <w:tcPr>
            <w:tcW w:type="dxa" w:w="560"/>
            <w:tcBorders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0" w:right="110" w:firstLine="0"/>
              <w:jc w:val="right"/>
            </w:pPr>
            <w:r>
              <w:rPr>
                <w:rFonts w:ascii="Symbol" w:hAnsi="Symbol" w:eastAsia="Symbol"/>
                <w:b w:val="0"/>
                <w:i w:val="0"/>
              </w:rPr>
              <w:t></w:t>
            </w:r>
          </w:p>
        </w:tc>
        <w:tc>
          <w:tcPr>
            <w:tcW w:type="dxa" w:w="4552"/>
          </w:tcPr>
          <w:p/>
        </w:tc>
      </w:tr>
    </w:tbl>
    <w:p>
      <w:pPr>
        <w:sectPr>
          <w:pgSz w:w="11906" w:h="16838"/>
          <w:pgMar w:top="71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240" w:lineRule="auto" w:before="138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56970" cy="21336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6970" cy="213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2" w:lineRule="auto" w:before="248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</w:rPr>
        <w:t xml:space="preserve">Arévalo, J., &amp; Ortega, J. (2013).  Comercio  delictivo, lavado  de  activos  y  captura del  Estado. </w:t>
      </w:r>
    </w:p>
    <w:p>
      <w:pPr>
        <w:sectPr>
          <w:pgSz w:w="11906" w:h="16838"/>
          <w:pgMar w:top="78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247" w:lineRule="auto" w:before="76" w:after="0"/>
        <w:ind w:left="0" w:right="576" w:firstLine="0"/>
        <w:jc w:val="left"/>
      </w:pPr>
      <w:r>
        <w:rPr>
          <w:rFonts w:ascii="Calibri" w:hAnsi="Calibri" w:eastAsia="Calibri"/>
          <w:b w:val="0"/>
          <w:i w:val="0"/>
        </w:rPr>
        <w:hyperlink r:id="rId36" w:history="1">
          <w:r>
            <w:rPr>
              <w:rStyle w:val="Hyperlink"/>
            </w:rPr>
            <w:t xml:space="preserve">El Tiempo (2015), “Minería ilegal en Colombia mueve $ 7 billones al año,” 4 September, </w:t>
          </w:r>
        </w:hyperlink>
      </w:r>
    </w:p>
    <w:p>
      <w:pPr>
        <w:sectPr>
          <w:pgSz w:w="11906" w:h="16838"/>
          <w:pgMar w:top="78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247" w:lineRule="auto" w:before="7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</w:rPr>
        <w:hyperlink r:id="rId37" w:history="1">
          <w:r>
            <w:rPr>
              <w:rStyle w:val="Hyperlink"/>
            </w:rPr>
            <w:t>http://www.repository.fedesarrollo.org.co/bitstream/1144</w:t>
          </w:r>
        </w:hyperlink>
      </w:r>
    </w:p>
    <w:p>
      <w:pPr>
        <w:sectPr>
          <w:pgSz w:w="11906" w:h="16838"/>
          <w:pgMar w:top="78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252" w:lineRule="auto" w:before="7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</w:rPr>
        <w:t xml:space="preserve">In Colombia (La Microeconomía De La Producción Y Tráfico De Cocaína En Colombia). </w:t>
      </w:r>
    </w:p>
    <w:p>
      <w:pPr>
        <w:sectPr>
          <w:pgSz w:w="11906" w:h="16838"/>
          <w:pgMar w:top="78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247" w:lineRule="auto" w:before="76" w:after="0"/>
        <w:ind w:left="0" w:right="288" w:firstLine="0"/>
        <w:jc w:val="left"/>
      </w:pPr>
      <w:r>
        <w:rPr>
          <w:rFonts w:ascii="Calibri" w:hAnsi="Calibri" w:eastAsia="Calibri"/>
          <w:b w:val="0"/>
          <w:i w:val="0"/>
        </w:rPr>
        <w:hyperlink r:id="rId38" w:history="1">
          <w:r>
            <w:rPr>
              <w:rStyle w:val="Hyperlink"/>
            </w:rPr>
            <w:t>Ministry of Mines and Energy-MME (2012b), Resolución 180241, 24 February 2012,</w:t>
          </w:r>
        </w:hyperlink>
      </w:r>
    </w:p>
    <w:p>
      <w:pPr>
        <w:sectPr>
          <w:pgSz w:w="11906" w:h="16838"/>
          <w:pgMar w:top="78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8"/>
        <w:ind w:left="0" w:right="0"/>
      </w:pPr>
    </w:p>
    <w:p>
      <w:pPr>
        <w:autoSpaceDN w:val="0"/>
        <w:autoSpaceDE w:val="0"/>
        <w:widowControl/>
        <w:spacing w:line="247" w:lineRule="auto" w:before="76" w:after="0"/>
        <w:ind w:left="0" w:right="144" w:firstLine="0"/>
        <w:jc w:val="left"/>
      </w:pPr>
      <w:r>
        <w:rPr>
          <w:rFonts w:ascii="Calibri" w:hAnsi="Calibri" w:eastAsia="Calibri"/>
          <w:b w:val="0"/>
          <w:i w:val="0"/>
        </w:rPr>
        <w:hyperlink r:id="rId39" w:history="1">
          <w:r>
            <w:rPr>
              <w:rStyle w:val="Hyperlink"/>
            </w:rPr>
            <w:t>Portafolio (2014), “Investigan operadores de oro por presunto lavado de activo</w:t>
          </w:r>
        </w:hyperlink>
      </w:r>
    </w:p>
    <w:p>
      <w:pPr>
        <w:sectPr>
          <w:pgSz w:w="11906" w:h="16838"/>
          <w:pgMar w:top="786" w:right="1362" w:bottom="4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38"/>
        <w:ind w:left="0" w:right="0"/>
      </w:pPr>
    </w:p>
    <w:p>
      <w:pPr>
        <w:autoSpaceDN w:val="0"/>
        <w:autoSpaceDE w:val="0"/>
        <w:widowControl/>
        <w:spacing w:line="322" w:lineRule="exact" w:before="84" w:after="0"/>
        <w:ind w:left="1368" w:right="1296" w:firstLine="0"/>
        <w:jc w:val="left"/>
      </w:pPr>
      <w:r>
        <w:rPr>
          <w:rFonts w:ascii="HelveticaNeueLTStd" w:hAnsi="HelveticaNeueLTStd" w:eastAsia="HelveticaNeueLTStd"/>
          <w:b/>
          <w:i w:val="0"/>
        </w:rPr>
        <w:t>due</w:t>
      </w:r>
    </w:p>
    <w:sectPr w:rsidR="00FC693F" w:rsidRPr="0006063C" w:rsidSect="00034616">
      <w:pgSz w:w="11906" w:h="16838"/>
      <w:pgMar w:top="136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hyperlink" Target="http://m.eltiempo.com/estilo-de-vida/ciencia/mineria-ilegal-en-colombia-mueve-7-billones-al-ano/16437683/1" TargetMode="External"/><Relationship Id="rId37" Type="http://schemas.openxmlformats.org/officeDocument/2006/relationships/hyperlink" Target="http://www.repository.fedesarrollo.org.co/bitstream/11445/368/3/Mineria%20informal%20aurifera%20en%20Colombia%20-%20Informe_linea_base_mineria_informal%20-%20pagina%20Fedesarrollo.pdf" TargetMode="External"/><Relationship Id="rId38" Type="http://schemas.openxmlformats.org/officeDocument/2006/relationships/hyperlink" Target="http://www.simco.gov.co/LinkClick.aspx?fileticket=Wvh4LoUAqxE%3D&amp;tabid=106" TargetMode="External"/><Relationship Id="rId39" Type="http://schemas.openxmlformats.org/officeDocument/2006/relationships/hyperlink" Target="http://www.portafolio.co/economia/presunto-lavado-activos-operadores-o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