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5050790</wp:posOffset>
            </wp:positionH>
            <wp:positionV relativeFrom="page">
              <wp:posOffset>495300</wp:posOffset>
            </wp:positionV>
            <wp:extent cx="2052319" cy="50407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319" cy="5040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68" w:lineRule="exact" w:before="0" w:after="0"/>
        <w:ind w:left="54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 xml:space="preserve">SERVICES DOMESTIC REGULATION IN THE WTO: </w:t>
      </w: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 xml:space="preserve">CUTTING RED TAPE, SLASHING TRADE  COSTS, </w:t>
      </w:r>
      <w:r>
        <w:rPr>
          <w:rFonts w:ascii="HelveticaNeueLTStd" w:hAnsi="HelveticaNeueLTStd" w:eastAsia="HelveticaNeueLTStd"/>
          <w:b w:val="0"/>
          <w:i w:val="0"/>
          <w:color w:val="FFFFFF"/>
          <w:sz w:val="48"/>
        </w:rPr>
        <w:t>AND FACILITATING SERVICES TRADE</w:t>
      </w:r>
    </w:p>
    <w:p>
      <w:pPr>
        <w:autoSpaceDN w:val="0"/>
        <w:autoSpaceDE w:val="0"/>
        <w:widowControl/>
        <w:spacing w:line="354" w:lineRule="exact" w:before="7948" w:after="0"/>
        <w:ind w:left="0" w:right="0" w:firstLine="0"/>
        <w:jc w:val="left"/>
      </w:pPr>
      <w:r>
        <w:rPr>
          <w:rFonts w:ascii="HelveticaNeue" w:hAnsi="HelveticaNeue" w:eastAsia="HelveticaNeue"/>
          <w:b w:val="0"/>
          <w:i w:val="0"/>
          <w:color w:val="FFFFFF"/>
          <w:sz w:val="30"/>
        </w:rPr>
        <w:t>NOVEMBER 2021</w:t>
      </w:r>
    </w:p>
    <w:p>
      <w:pPr>
        <w:sectPr>
          <w:pgSz w:w="11906" w:h="16838"/>
          <w:pgMar w:top="1440" w:right="428" w:bottom="350" w:left="6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346" w:after="0"/>
        <w:ind w:left="2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Services domestic regulation in the WTO: </w:t>
      </w:r>
      <w:r>
        <w:br/>
      </w:r>
      <w:r>
        <w:rPr>
          <w:rFonts w:ascii="Arial" w:hAnsi="Arial" w:eastAsia="Arial"/>
          <w:b/>
          <w:i w:val="0"/>
          <w:color w:val="000000"/>
          <w:sz w:val="25"/>
        </w:rPr>
        <w:t xml:space="preserve">Cutting red tape, slashing trade costs, and facilitating services trade </w:t>
      </w:r>
    </w:p>
    <w:p>
      <w:pPr>
        <w:autoSpaceDN w:val="0"/>
        <w:autoSpaceDE w:val="0"/>
        <w:widowControl/>
        <w:spacing w:line="286" w:lineRule="auto" w:before="64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19 November 2021 </w:t>
      </w:r>
    </w:p>
    <w:p>
      <w:pPr>
        <w:autoSpaceDN w:val="0"/>
        <w:autoSpaceDE w:val="0"/>
        <w:widowControl/>
        <w:spacing w:line="298" w:lineRule="auto" w:before="512" w:after="134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Key messages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3"/>
        <w:gridCol w:w="4563"/>
      </w:tblGrid>
      <w:tr>
        <w:trPr>
          <w:trHeight w:hRule="exact" w:val="5306"/>
        </w:trPr>
        <w:tc>
          <w:tcPr>
            <w:tcW w:type="dxa" w:w="248"/>
            <w:tcBorders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1096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1092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1300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8860"/>
            <w:tcBorders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38" w:right="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Improving business climate: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At the 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WTO Ministerial Conference, the Joint Initiative on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Domestic Regulation will conclude negotiations on a set of good regulatory practices with a focus on procedural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aspects of licensing and authorization procedures for services suppliers. By enhancing the transparency,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efficiency, and predictability of regulatory systems, the disciplines on services domestic regulation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Joint Initiative has negotiated will address the practical challenges that affect the ability of businesses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suppliers to operate. </w:t>
            </w:r>
          </w:p>
          <w:p>
            <w:pPr>
              <w:autoSpaceDN w:val="0"/>
              <w:autoSpaceDE w:val="0"/>
              <w:widowControl/>
              <w:spacing w:line="250" w:lineRule="auto" w:before="24" w:after="0"/>
              <w:ind w:left="138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Facilitating services trade: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Building on efforts to identify and disseminate good regulatory practice,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increasing number of "new generation" trade agreements have moved beyond the removal of quantitative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restrictions and discriminatory measures to include a comprehensive set of disciplines largely equivalent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those developed by the Joint Initiative. At the same time, economies at all levels of income have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implemented reforms with a view to making their regulatory environment more trade facilitative for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businesses. </w:t>
            </w:r>
          </w:p>
          <w:p>
            <w:pPr>
              <w:autoSpaceDN w:val="0"/>
              <w:autoSpaceDE w:val="0"/>
              <w:widowControl/>
              <w:spacing w:line="247" w:lineRule="auto" w:before="26" w:after="0"/>
              <w:ind w:left="138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>Lowering trade costs and generating broader trade benefits: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Through the full implementation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disciplines on services domestic regulation, economies can lower trade costs and reap substantial trade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benefits: annual trade cost savings could be in the range of USD 150 billion, with important gains in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services, business services, communications and transport services. Moreover, a positive correlation between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the implementation of services domestic regulation measures and services trade by all four modes of supply,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as well as a more active engagement of economies in global value chains, hints to even broader economic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benefits. </w:t>
            </w:r>
          </w:p>
          <w:p>
            <w:pPr>
              <w:autoSpaceDN w:val="0"/>
              <w:autoSpaceDE w:val="0"/>
              <w:widowControl/>
              <w:spacing w:line="254" w:lineRule="auto" w:before="24" w:after="0"/>
              <w:ind w:left="140" w:right="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1629A"/>
                <w:sz w:val="18"/>
              </w:rPr>
              <w:t xml:space="preserve">Widespread gains beyond participants: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Exporters from all WTO members will benefit from the improved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regulatory conditions when they trade with participants of the Joint Initiative. However, significantly larger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benefits will accrue to WTO members that are implementing the disciplines themselves in their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regulatory frameworks. </w:t>
            </w:r>
          </w:p>
        </w:tc>
      </w:tr>
    </w:tbl>
    <w:p>
      <w:pPr>
        <w:autoSpaceDN w:val="0"/>
        <w:autoSpaceDE w:val="0"/>
        <w:widowControl/>
        <w:spacing w:line="247" w:lineRule="auto" w:before="34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are the most dynamic and fastest growing sector of today's global economy. They represent over 60%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world GDP in value-added terms and more than 50% of employment worldwide. Services also provide critical inputs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other sectors. For instance, transport, logistics, communications or financial services facilitate the functioning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global value chains while research, development or engineering services foster productivity and innovation in all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economies. Thereby, services constitute a critical component of a sound, sustainable, and inclusive economic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recovery from the COVID-19 pandemic. </w:t>
      </w:r>
    </w:p>
    <w:p>
      <w:pPr>
        <w:autoSpaceDN w:val="0"/>
        <w:autoSpaceDE w:val="0"/>
        <w:widowControl/>
        <w:spacing w:line="247" w:lineRule="auto" w:before="20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However, the ability of service suppliers to engage in trade and the potential of the services sector overall remains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constrained by a variety of trade barriers: the cost of trading services is twice as high as that of goods,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regulation-related factors account for more than 40% of these costs (WTO World Trade Report, 2019). OECD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estimates suggest that the barriers recorded in the OECD Services Trade Restrictiveness Index (STRI) involve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average trade costs between 50% and 250% of export values (Benz &amp; Jaax, 2020). Among the obstacles, the lack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transparency of laws and regulations, and pervasive procedural inefficiencies figure prominently. </w:t>
      </w:r>
    </w:p>
    <w:p>
      <w:pPr>
        <w:autoSpaceDN w:val="0"/>
        <w:autoSpaceDE w:val="0"/>
        <w:widowControl/>
        <w:spacing w:line="247" w:lineRule="auto" w:before="202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 the services field, many activities require licenses or authorisations to operate. International discussions on </w:t>
      </w:r>
      <w:r>
        <w:rPr>
          <w:rFonts w:ascii="ArialMT" w:hAnsi="ArialMT" w:eastAsia="ArialMT"/>
          <w:b w:val="0"/>
          <w:i w:val="0"/>
          <w:color w:val="000000"/>
          <w:sz w:val="18"/>
        </w:rPr>
        <w:t>services domestic regul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ation aim to facilitate trade in services by eliminati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ng the unintended trade-restrictive effects </w:t>
      </w:r>
      <w:r>
        <w:rPr>
          <w:rFonts w:ascii="ArialMT" w:hAnsi="ArialMT" w:eastAsia="ArialMT"/>
          <w:b w:val="0"/>
          <w:i w:val="0"/>
          <w:color w:val="000000"/>
          <w:sz w:val="18"/>
        </w:rPr>
        <w:t>of such measures. The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Joint Initiative on Services Domestic Regulation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18"/>
        </w:rPr>
        <w:t>will conclude at the 12</w:t>
      </w:r>
      <w:r>
        <w:rPr>
          <w:rFonts w:ascii="ArialMT" w:hAnsi="ArialMT" w:eastAsia="ArialMT"/>
          <w:b w:val="0"/>
          <w:i w:val="0"/>
          <w:color w:val="000000"/>
          <w:sz w:val="12"/>
        </w:rPr>
        <w:t>th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WTO Ministerial </w:t>
      </w:r>
      <w:r>
        <w:rPr>
          <w:rFonts w:ascii="ArialMT" w:hAnsi="ArialMT" w:eastAsia="ArialMT"/>
          <w:b w:val="0"/>
          <w:i w:val="0"/>
          <w:color w:val="000000"/>
          <w:sz w:val="18"/>
        </w:rPr>
        <w:t>Conference negotiatio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n</w:t>
          </w:r>
        </w:hyperlink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s on a set of good regulatory practices to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enhance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 xml:space="preserve">transparency, efficiency, and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predictability of regula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tory systems to obtain authorization to supply services - the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"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4" w:history="1">
          <w:r>
            <w:rPr>
              <w:rStyle w:val="Hyperlink"/>
            </w:rPr>
            <w:t>Reference Paper on Services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14" w:history="1">
          <w:r>
            <w:rPr>
              <w:rStyle w:val="Hyperlink"/>
            </w:rPr>
            <w:t>Domestic Regulation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"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>. Sixty-six WTO members are currently participating in this p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l</w:t>
          </w:r>
        </w:hyperlink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urilateral negotiating process,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u w:val="single" w:color="0000ff"/>
          <w:rFonts w:ascii="ArialMT" w:hAnsi="ArialMT" w:eastAsia="ArialMT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covering more than 9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0% of world services trade. </w:t>
      </w:r>
    </w:p>
    <w:p>
      <w:pPr>
        <w:autoSpaceDN w:val="0"/>
        <w:autoSpaceDE w:val="0"/>
        <w:widowControl/>
        <w:spacing w:line="247" w:lineRule="auto" w:before="20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disciplines on services domestic regulation (SDR disciplines) that the Joint Initiative has agreed build upon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three core principles: (i) </w:t>
      </w:r>
      <w:r>
        <w:rPr>
          <w:rFonts w:ascii="Arial" w:hAnsi="Arial" w:eastAsia="Arial"/>
          <w:b/>
          <w:i w:val="0"/>
          <w:color w:val="000000"/>
          <w:sz w:val="18"/>
        </w:rPr>
        <w:t>transparency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promoting prompt publication and availability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information relevant to service suppliers and their engagement in regulatory decision-making processes; (ii) </w:t>
      </w:r>
      <w:r>
        <w:rPr>
          <w:rFonts w:ascii="Arial" w:hAnsi="Arial" w:eastAsia="Arial"/>
          <w:b/>
          <w:i w:val="0"/>
          <w:color w:val="000000"/>
          <w:sz w:val="18"/>
        </w:rPr>
        <w:t>legal certainty and predictability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ensuring regulatory and procedural guarantees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 followed by competent authorities when dealing with applications for authorization to supply services; (iii) </w:t>
      </w:r>
      <w:r>
        <w:rPr>
          <w:rFonts w:ascii="Arial" w:hAnsi="Arial" w:eastAsia="Arial"/>
          <w:b/>
          <w:i w:val="0"/>
          <w:color w:val="000000"/>
          <w:sz w:val="18"/>
        </w:rPr>
        <w:t>regulatory quality and facilitation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, namely measures aimed at disseminating good regulatory practices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facilitate services suppliers' ability to trade. </w:t>
      </w:r>
    </w:p>
    <w:p>
      <w:pPr>
        <w:autoSpaceDN w:val="0"/>
        <w:autoSpaceDE w:val="0"/>
        <w:widowControl/>
        <w:spacing w:line="298" w:lineRule="auto" w:before="534" w:after="0"/>
        <w:ind w:left="0" w:right="70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1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62"/>
        <w:gridCol w:w="4562"/>
      </w:tblGrid>
      <w:tr>
        <w:trPr>
          <w:trHeight w:hRule="exact" w:val="74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52880" cy="431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63980" cy="326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6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9124"/>
      </w:tblGrid>
      <w:tr>
        <w:trPr>
          <w:trHeight w:hRule="exact" w:val="10574"/>
        </w:trPr>
        <w:tc>
          <w:tcPr>
            <w:tcW w:type="dxa" w:w="9000"/>
            <w:tcBorders>
              <w:start w:sz="12.0" w:val="single" w:color="#A5A6A5"/>
              <w:top w:sz="12.0" w:val="single" w:color="#A5A6A5"/>
              <w:end w:sz="12.0" w:val="single" w:color="#A5A6A5"/>
              <w:bottom w:sz="12.0" w:val="single" w:color="#A5A6A5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1629A"/>
                <w:sz w:val="22"/>
              </w:rPr>
              <w:t xml:space="preserve">The disciplines on services domestic regulation – in brief </w:t>
            </w:r>
          </w:p>
          <w:p>
            <w:pPr>
              <w:autoSpaceDN w:val="0"/>
              <w:autoSpaceDE w:val="0"/>
              <w:widowControl/>
              <w:spacing w:line="300" w:lineRule="auto" w:before="180" w:after="44"/>
              <w:ind w:left="2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Transparency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1322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8" w:lineRule="auto" w:before="50" w:after="0"/>
                    <w:ind w:left="148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4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Publish and make available information required to comply with requirements and procedures for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authorization, including through electronic means; </w:t>
                  </w:r>
                </w:p>
                <w:p>
                  <w:pPr>
                    <w:autoSpaceDN w:val="0"/>
                    <w:autoSpaceDE w:val="0"/>
                    <w:widowControl/>
                    <w:spacing w:line="286" w:lineRule="auto" w:before="34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Establish appropriate mechanisms for responding to enquiries from service suppliers; 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2" w:after="0"/>
                    <w:ind w:left="1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Engage stakeholders by publishing proposed laws and regulations, providing opportunity for comments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from interested persons, and considering comments received.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auto" w:before="136" w:after="44"/>
              <w:ind w:left="2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Legal certainty and predictability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271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50" w:after="0"/>
                    <w:ind w:left="148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83" w:lineRule="auto" w:before="264" w:after="0"/>
                    <w:ind w:left="146" w:right="9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auto" w:before="44" w:after="0"/>
                    <w:ind w:left="112" w:right="0" w:firstLine="2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Establish indicative timeframes for processing applications;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Process applications in a timely manner;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Provide information on the status of applications;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applicants to correct minor deficiencies in incomplete applications and identify additional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information required;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Inform applicants of reasons for rejection of applications and allow resubmission;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authorization once granted to enter into effect without undue delay;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Allow reasonable time between publication of laws and regulations and date of required compliance by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service suppliers;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Hold examinations at reasonably frequent intervals.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auto" w:before="136" w:after="44"/>
              <w:ind w:left="2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Regulatory quality and facilitation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4500"/>
              <w:gridCol w:w="4500"/>
            </w:tblGrid>
            <w:tr>
              <w:trPr>
                <w:trHeight w:hRule="exact" w:val="4156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50" w:after="0"/>
                    <w:ind w:left="144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71" w:lineRule="auto" w:before="268" w:after="0"/>
                    <w:ind w:left="144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8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88" w:lineRule="auto" w:before="268" w:after="0"/>
                    <w:ind w:left="144" w:right="92" w:firstLine="2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191919"/>
                      <w:sz w:val="18"/>
                    </w:rPr>
                    <w:t>•</w:t>
                  </w:r>
                </w:p>
              </w:tc>
              <w:tc>
                <w:tcPr>
                  <w:tcW w:type="dxa" w:w="8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4" w:after="0"/>
                    <w:ind w:left="1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Require applicants to approach only one competent authority to obtain authorization;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Permit submission of applications at any time throughout the year, or at least, allow reasonable periods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of time for submission;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Accept electronic applications and authenticated copies of documents;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authorization fees are reasonable, transparent, and do not in themselves restrict the supply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of service;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Support professional bodies wishing to establish dialogues on issues relating to recognition of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professional qualifications;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competent authorities reach their decisions in a manner independent from services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suppliers;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Consolidate relevant information on a single online dedicated portal;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Develop technical standards through open and transparent processes;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Base measures relating to authorization on objective and transparent criteria;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procedures are impartial, adequate and do not unjustifiably prevent fulfilment of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authorization requirements;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191919"/>
                      <w:sz w:val="18"/>
                    </w:rPr>
                    <w:t xml:space="preserve">Ensure that authorization measures do not discriminate between men and women.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auto" w:before="37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SDR disciplines closely resonate with work that several international economic fora, such as the OECD,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World Bank, and APEC, have undertaken on good regulatory practices. While such initiatives generally look beyond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services trade field, they share a common goal – to address the practical challenges that affect the ability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businesses to operate and make regulatory environments more conducive to trade. </w:t>
      </w:r>
    </w:p>
    <w:p>
      <w:pPr>
        <w:autoSpaceDN w:val="0"/>
        <w:autoSpaceDE w:val="0"/>
        <w:widowControl/>
        <w:spacing w:line="247" w:lineRule="auto" w:before="17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Over the past years, many economies have introduced broad internal regulatory reforms to streamline their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regulations in services sectors and signal their commitment to good regulatory practices to any interested – foreign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or domestic – suppliers. The OECD STRI database records 56 of such liberalising policy changes related to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SDR disciplines between 2014 and 2020 (Figure 1). Most of these policy reforms are of horizontal nature, affecting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 large number of sectors. Financial services stand out with the greatest sector-specific efforts towards more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efficient services regulation. </w:t>
      </w:r>
    </w:p>
    <w:p>
      <w:pPr>
        <w:autoSpaceDN w:val="0"/>
        <w:autoSpaceDE w:val="0"/>
        <w:widowControl/>
        <w:spacing w:line="298" w:lineRule="auto" w:before="93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2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70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1282700</wp:posOffset>
            </wp:positionV>
            <wp:extent cx="5765800" cy="3556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5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1: Number of liberalising policy reforms related to SDR disciplines between 2014-2020 </w:t>
      </w:r>
    </w:p>
    <w:p>
      <w:pPr>
        <w:autoSpaceDN w:val="0"/>
        <w:autoSpaceDE w:val="0"/>
        <w:widowControl/>
        <w:spacing w:line="286" w:lineRule="auto" w:before="68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30</w:t>
      </w:r>
    </w:p>
    <w:p>
      <w:pPr>
        <w:autoSpaceDN w:val="0"/>
        <w:autoSpaceDE w:val="0"/>
        <w:widowControl/>
        <w:spacing w:line="283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25</w:t>
      </w:r>
    </w:p>
    <w:p>
      <w:pPr>
        <w:autoSpaceDN w:val="0"/>
        <w:autoSpaceDE w:val="0"/>
        <w:widowControl/>
        <w:spacing w:line="286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20</w:t>
      </w:r>
    </w:p>
    <w:p>
      <w:pPr>
        <w:autoSpaceDN w:val="0"/>
        <w:autoSpaceDE w:val="0"/>
        <w:widowControl/>
        <w:spacing w:line="286" w:lineRule="auto" w:before="464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15</w:t>
      </w:r>
    </w:p>
    <w:p>
      <w:pPr>
        <w:autoSpaceDN w:val="0"/>
        <w:autoSpaceDE w:val="0"/>
        <w:widowControl/>
        <w:spacing w:line="286" w:lineRule="auto" w:before="46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10</w:t>
      </w:r>
    </w:p>
    <w:p>
      <w:pPr>
        <w:autoSpaceDN w:val="0"/>
        <w:autoSpaceDE w:val="0"/>
        <w:widowControl/>
        <w:spacing w:line="286" w:lineRule="auto" w:before="464" w:after="0"/>
        <w:ind w:left="24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86" w:lineRule="auto" w:before="466" w:after="0"/>
        <w:ind w:left="24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</w:t>
      </w:r>
    </w:p>
    <w:p>
      <w:pPr>
        <w:autoSpaceDN w:val="0"/>
        <w:autoSpaceDE w:val="0"/>
        <w:widowControl/>
        <w:spacing w:line="247" w:lineRule="auto" w:before="1380" w:after="0"/>
        <w:ind w:left="28" w:right="28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Sum over 52 SDR JI participants for which OECD STRI data are available. The OECD STRI database records applied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regulations across 56 economies and 22 sectors, covering several disciplines included in the Reference Paper on Services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Domestic Regulation. Inter alia, these include transparency in the rule-making process, administrative and procedural hurdles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related to registering companies, as well as licensing and authorization requirements across different sectors, including some </w:t>
      </w:r>
      <w:r>
        <w:rPr>
          <w:rFonts w:ascii="ArialMT" w:hAnsi="ArialMT" w:eastAsia="ArialMT"/>
          <w:b w:val="0"/>
          <w:i w:val="0"/>
          <w:color w:val="000000"/>
          <w:sz w:val="16"/>
        </w:rPr>
        <w:t>prof</w:t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essional service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 such as legal, accounting, architecture and engineering service (for further details on the STRI measures, </w:t>
      </w:r>
      <w:r>
        <w:rPr>
          <w:rFonts w:ascii="ArialMT" w:hAnsi="ArialMT" w:eastAsia="ArialMT"/>
          <w:b w:val="0"/>
          <w:i w:val="0"/>
          <w:color w:val="000000"/>
          <w:sz w:val="16"/>
        </w:rPr>
        <w:t>see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6"/>
          <w:u w:val="single"/>
        </w:rPr>
        <w:hyperlink r:id="rId17" w:history="1">
          <w:r>
            <w:rPr>
              <w:rStyle w:val="Hyperlink"/>
            </w:rPr>
            <w:t>http://oe.cd/stri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)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</w:t>
      </w:r>
      <w:r>
        <w:rPr>
          <w:rFonts w:ascii="Arial" w:hAnsi="Arial" w:eastAsia="Arial"/>
          <w:b w:val="0"/>
          <w:i/>
          <w:color w:val="000000"/>
          <w:sz w:val="16"/>
        </w:rPr>
        <w:hyperlink r:id="rId17" w:history="1">
          <w:r>
            <w:rPr>
              <w:rStyle w:val="Hyperlink"/>
            </w:rPr>
            <w:t>rce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: OECD STR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 database. </w:t>
      </w:r>
    </w:p>
    <w:p>
      <w:pPr>
        <w:autoSpaceDN w:val="0"/>
        <w:autoSpaceDE w:val="0"/>
        <w:widowControl/>
        <w:spacing w:line="247" w:lineRule="auto" w:before="32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At the same time, good regulatory practices have also progressively found their way into bilateral and regional "new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generation" trade agreements, with a view to ensuring the effectiveness of liberalization commitments in services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markets. An increasing number of WTO members – 82 WTO members by 2010, 98 WTO members by 2015,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112 WTO members by 2020 – have concluded at least one trade agreement with GATS-plus regulatory obligations.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Among them, some 40 WTO members have concluded by now at least one agreement that reflects almost entirely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full set of SDR disciplines of the Reference Paper agreed upon by the Joint Initiative.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Lowering trade costs through services domestic regulation implementation </w:t>
      </w:r>
    </w:p>
    <w:p>
      <w:pPr>
        <w:autoSpaceDN w:val="0"/>
        <w:autoSpaceDE w:val="0"/>
        <w:widowControl/>
        <w:spacing w:line="245" w:lineRule="auto" w:before="188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Despite the increasing awareness of good regulatory practices for the smooth function of services markets, there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remains scope for further progress on streamlining domestic regulation of services sectors. This assessment is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based on a benchmarking of the various disciplines of the Joint Initiative against the database of the OECD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Trade Restrictiveness Index (STRI). Full implementation of the SDR disciplines would make an important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contribution to facilitate cross-border services trade. Benchmarking of SDR disciplines against the STRI database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shows that impediments to services trade could be lowered by 11% in the average across all economies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participating in the Joint Initiative for which data is available (Figure 2). Most barriers could be eliminated in sectors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such as computer services, commercial banking, and telecommunications services (all -16%), which are key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intermediate services contributing to all economic activities. Moreover, as most of these sectors are important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pillars of the digital economy, streamlining domestic regulations would also benefit digital trade. </w:t>
      </w:r>
    </w:p>
    <w:p>
      <w:pPr>
        <w:autoSpaceDN w:val="0"/>
        <w:autoSpaceDE w:val="0"/>
        <w:widowControl/>
        <w:spacing w:line="298" w:lineRule="auto" w:before="2348" w:after="0"/>
        <w:ind w:left="0" w:right="70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3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274" w:after="176"/>
        <w:ind w:left="720" w:right="72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2: Streamlining SDR reduces barriers to services trade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Average percentage of decrease in STRI values resulting from removal of existing impediments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4563"/>
        <w:gridCol w:w="4563"/>
      </w:tblGrid>
      <w:tr>
        <w:trPr>
          <w:trHeight w:hRule="exact" w:val="30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0" w:right="42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STRI reduction in %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4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Average</w:t>
            </w:r>
          </w:p>
        </w:tc>
      </w:tr>
    </w:tbl>
    <w:p>
      <w:pPr>
        <w:autoSpaceDN w:val="0"/>
        <w:autoSpaceDE w:val="0"/>
        <w:widowControl/>
        <w:spacing w:line="286" w:lineRule="auto" w:before="1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0%</w:t>
      </w:r>
    </w:p>
    <w:p>
      <w:pPr>
        <w:autoSpaceDN w:val="0"/>
        <w:autoSpaceDE w:val="0"/>
        <w:widowControl/>
        <w:spacing w:line="286" w:lineRule="auto" w:before="790" w:after="0"/>
        <w:ind w:left="3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-5%</w:t>
      </w:r>
    </w:p>
    <w:p>
      <w:pPr>
        <w:autoSpaceDN w:val="0"/>
        <w:autoSpaceDE w:val="0"/>
        <w:widowControl/>
        <w:spacing w:line="286" w:lineRule="auto" w:before="790" w:after="12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-10%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2.0000000000002" w:type="dxa"/>
      </w:tblPr>
      <w:tblGrid>
        <w:gridCol w:w="3042"/>
        <w:gridCol w:w="3042"/>
        <w:gridCol w:w="3042"/>
      </w:tblGrid>
      <w:tr>
        <w:trPr>
          <w:trHeight w:hRule="exact" w:val="324"/>
        </w:trPr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38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6" w:lineRule="auto" w:before="454" w:after="0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-15%</w:t>
      </w:r>
    </w:p>
    <w:p>
      <w:pPr>
        <w:autoSpaceDN w:val="0"/>
        <w:autoSpaceDE w:val="0"/>
        <w:widowControl/>
        <w:spacing w:line="286" w:lineRule="auto" w:before="790" w:after="0"/>
        <w:ind w:left="2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-20%</w:t>
      </w:r>
    </w:p>
    <w:p>
      <w:pPr>
        <w:autoSpaceDN w:val="0"/>
        <w:autoSpaceDE w:val="0"/>
        <w:widowControl/>
        <w:spacing w:line="240" w:lineRule="auto" w:before="26" w:after="0"/>
        <w:ind w:left="1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3700" cy="736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568" w:after="0"/>
        <w:ind w:left="28" w:right="28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Simple average of 52 SDR JI participants for which OECD STRI data are available. Values of some sectors are based on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 smaller number of countries. Trade-weighted average of intra-EEA restrictiveness and MFN restrictiveness for EU members.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Trade data from the OECD-WTO Balanced Trade in Services dataset (BaTIS).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OECD calculations. </w:t>
      </w:r>
    </w:p>
    <w:p>
      <w:pPr>
        <w:autoSpaceDN w:val="0"/>
        <w:autoSpaceDE w:val="0"/>
        <w:widowControl/>
        <w:spacing w:line="247" w:lineRule="auto" w:before="324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These reductions of services trade barriers highlight some of the challenges faced by services companies when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providing services to foreign jurisdictions. Streamlined regulations in services sectors could reduce the time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cost required for dealing with administrative barriers and regulatory red tape. These cost savings can incentivise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new trade and new investment. They can also be passed on through lower prices to users of these services,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including consumers and businesses. While the exact distribution of cost savings is difficult to assess, it is possible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quantify the magnitude of potential savings based on the current volume of services trade. </w:t>
      </w:r>
    </w:p>
    <w:p>
      <w:pPr>
        <w:autoSpaceDN w:val="0"/>
        <w:autoSpaceDE w:val="0"/>
        <w:widowControl/>
        <w:spacing w:line="245" w:lineRule="auto" w:before="202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Annual services imports of all economies participating in the Joint Initiative are in the range of USD 3 trillion. More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than USD 2.6 trillion of these are between participating countries, while less than USD 400 billion correspond to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services imports from WTO members that are currently not participating in the negotiations. Based on the reduction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services trade cost in individual sectors outlined above, annual trade cost savings on services trade between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Joint Initiative's participants could be around USD 135 billion (calculations based on estimated ad valorem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equivalents of services trade barriers from Benz &amp; Jaax, 2020). Substantial benefits accrue in a number of sectors,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including financial services sector with USD 47 billion, business services with USD 36 billion, as well as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communications and transport services, with both around USD 20 billion (Figure 3). </w:t>
      </w:r>
    </w:p>
    <w:p>
      <w:pPr>
        <w:autoSpaceDN w:val="0"/>
        <w:autoSpaceDE w:val="0"/>
        <w:widowControl/>
        <w:spacing w:line="298" w:lineRule="auto" w:before="299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4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184"/>
        <w:ind w:left="11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3: Annual trade cost savings in five broad services sectors, billion USD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8.0" w:type="dxa"/>
      </w:tblPr>
      <w:tblGrid>
        <w:gridCol w:w="4624"/>
        <w:gridCol w:w="4624"/>
      </w:tblGrid>
      <w:tr>
        <w:trPr>
          <w:trHeight w:hRule="exact" w:val="32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0" w:right="20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Between SDR JI participants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2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With non-participants</w:t>
            </w:r>
          </w:p>
        </w:tc>
      </w:tr>
    </w:tbl>
    <w:p>
      <w:pPr>
        <w:autoSpaceDN w:val="0"/>
        <w:autoSpaceDE w:val="0"/>
        <w:widowControl/>
        <w:spacing w:line="286" w:lineRule="auto" w:before="32" w:after="0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60</w:t>
      </w:r>
    </w:p>
    <w:p>
      <w:pPr>
        <w:autoSpaceDN w:val="0"/>
        <w:autoSpaceDE w:val="0"/>
        <w:widowControl/>
        <w:spacing w:line="286" w:lineRule="auto" w:before="522" w:after="88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4624"/>
        <w:gridCol w:w="4624"/>
      </w:tblGrid>
      <w:tr>
        <w:trPr>
          <w:trHeight w:hRule="exact" w:val="81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 billion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36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40</w:t>
            </w:r>
          </w:p>
        </w:tc>
      </w:tr>
      <w:tr>
        <w:trPr>
          <w:trHeight w:hRule="exact" w:val="96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savings in US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36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30</w:t>
            </w:r>
          </w:p>
        </w:tc>
      </w:tr>
      <w:tr>
        <w:trPr>
          <w:trHeight w:hRule="exact" w:val="828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6" w:lineRule="auto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Trade cost</w:t>
            </w:r>
          </w:p>
        </w:tc>
        <w:tc>
          <w:tcPr>
            <w:tcW w:type="dxa" w:w="48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36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286" w:lineRule="auto" w:before="50" w:after="464"/>
        <w:ind w:left="48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530"/>
        </w:trPr>
        <w:tc>
          <w:tcPr>
            <w:tcW w:type="dxa" w:w="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0" w:right="6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6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Transport</w:t>
            </w:r>
          </w:p>
        </w:tc>
        <w:tc>
          <w:tcPr>
            <w:tcW w:type="dxa" w:w="26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Insurance and pension</w:t>
            </w:r>
          </w:p>
        </w:tc>
        <w:tc>
          <w:tcPr>
            <w:tcW w:type="dxa" w:w="6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Finance</w:t>
            </w:r>
          </w:p>
        </w:tc>
        <w:tc>
          <w:tcPr>
            <w:tcW w:type="dxa" w:w="20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Communications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Business services</w:t>
            </w:r>
          </w:p>
        </w:tc>
      </w:tr>
    </w:tbl>
    <w:p>
      <w:pPr>
        <w:autoSpaceDN w:val="0"/>
        <w:autoSpaceDE w:val="0"/>
        <w:widowControl/>
        <w:spacing w:line="254" w:lineRule="auto" w:before="134" w:after="0"/>
        <w:ind w:left="28" w:right="14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Note: Simple average of 52 SDR JI participants for which OECD STRI data are available. Values of some sectors are based on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 smaller number of countries. Trade-weighted average of intra-EEA restrictiveness and MFN restrictiveness for EU members.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Trade data from the OECD-WTO Balanced Trade in Services dataset (BaTIS). </w:t>
      </w:r>
    </w:p>
    <w:p>
      <w:pPr>
        <w:autoSpaceDN w:val="0"/>
        <w:autoSpaceDE w:val="0"/>
        <w:widowControl/>
        <w:spacing w:line="283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Source: OECD calculations. </w:t>
      </w:r>
    </w:p>
    <w:p>
      <w:pPr>
        <w:autoSpaceDN w:val="0"/>
        <w:autoSpaceDE w:val="0"/>
        <w:widowControl/>
        <w:spacing w:line="250" w:lineRule="auto" w:before="326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Additional trade cost savings may result from services exports of non-participants to participating economies. Due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the MFN nature of the SDR disciplines, exporters from all WTO members will benefit from higher transparency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and predictability of authorisation and licensing processes, including exporters from economies not participating in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Joint Initiative. Total trade cost savings from these trade flows are around USD 17 billion, which are divided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relatively equally across the five sectors.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Broader trade benefits of implementing services domestic regulation </w:t>
      </w:r>
    </w:p>
    <w:p>
      <w:pPr>
        <w:autoSpaceDN w:val="0"/>
        <w:autoSpaceDE w:val="0"/>
        <w:widowControl/>
        <w:spacing w:line="262" w:lineRule="auto" w:before="188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Besides significant trade costs savings, the implementation of SDR disciplines can bring broader economic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benefits, including an increase in services trade and enhanced participation in global value chains (GVCs). </w:t>
      </w:r>
    </w:p>
    <w:p>
      <w:pPr>
        <w:autoSpaceDN w:val="0"/>
        <w:autoSpaceDE w:val="0"/>
        <w:widowControl/>
        <w:spacing w:line="252" w:lineRule="auto" w:before="170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implementation of SDR disciplines tends to correspond to more services trade by all four modes of supply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(Figure 4). Trade in services is critical to economic growth and development. For developing economies, services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trade offers opportunities to build know-how and technological capacity and achieve competitiveness at the global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level. Moreover, there is evidence that services exporters pay higher wages than non-exporting firms. </w:t>
      </w:r>
    </w:p>
    <w:p>
      <w:pPr>
        <w:autoSpaceDN w:val="0"/>
        <w:autoSpaceDE w:val="0"/>
        <w:widowControl/>
        <w:spacing w:line="257" w:lineRule="auto" w:before="166" w:after="0"/>
        <w:ind w:left="28" w:right="14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Cutting red tape in regulatory frameworks can help create new services trade opportunities for suppliers of all sizes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and women entrepreneurs. It can benefit particularly micro, small and medium-sized enterprises (MSMEs), which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typically face limited resources to navigate complex and costly requirements and procedures. </w:t>
      </w:r>
    </w:p>
    <w:p>
      <w:pPr>
        <w:autoSpaceDN w:val="0"/>
        <w:autoSpaceDE w:val="0"/>
        <w:widowControl/>
        <w:spacing w:line="298" w:lineRule="auto" w:before="3080" w:after="0"/>
        <w:ind w:left="0" w:right="192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5</w:t>
      </w:r>
    </w:p>
    <w:p>
      <w:pPr>
        <w:sectPr>
          <w:pgSz w:w="11906" w:h="16838"/>
          <w:pgMar w:top="324" w:right="1246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27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4: Correlation between implementation of SDR disciplines and volume of services trade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3890" cy="409447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094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0" w:after="0"/>
        <w:ind w:left="28" w:right="26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(1) H, UM, LM and L denote the average for high, upper−middle, lower−middle and low-income economies. Number 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economies = 150. (2) Scores measure the level of inclusion of disciplines in RTAs. They are defined as simple averages across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all SDR disciplines, ranging from 0 (discipline absent) to 1 (discipline adopted). Implementation is assumed when a WTO member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has included the discipline at least once in its RTAs. The logarithm of services trade by all four modes of supply, measured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sum of exports and imports, is derived from a new experimental dataset on Trade in Services by mode of supply (TISMOS)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from the WTO.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Baiker, Bertola &amp; Jelitto (2021). </w:t>
      </w:r>
    </w:p>
    <w:p>
      <w:pPr>
        <w:autoSpaceDN w:val="0"/>
        <w:autoSpaceDE w:val="0"/>
        <w:widowControl/>
        <w:spacing w:line="250" w:lineRule="auto" w:before="324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Furthermore, the implementation of SDR disciplines is associated with more active engagement in GVCs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(Figure 5). By fostering the efficiency and competitiveness of domestic services sectors, participation in GVCs can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assist the development efforts of lower-income economies. GVCs offer opportunities to integrate into the global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economy, especially for MSMEs. They promote employment, and generate positive spill over effects, including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knowledge and technological progress. </w:t>
      </w:r>
    </w:p>
    <w:p>
      <w:pPr>
        <w:autoSpaceDN w:val="0"/>
        <w:autoSpaceDE w:val="0"/>
        <w:widowControl/>
        <w:spacing w:line="257" w:lineRule="auto" w:before="200" w:after="0"/>
        <w:ind w:left="28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As GVCs rely intensively on services, measures on authorization requirements and procedures that regulate the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supply of services play a particularly prominent role. Hence, removing red tape and delays, as well as bridging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regulatory divergence is key to the effective and efficient operation of GVCs. </w:t>
      </w:r>
    </w:p>
    <w:p>
      <w:pPr>
        <w:autoSpaceDN w:val="0"/>
        <w:autoSpaceDE w:val="0"/>
        <w:widowControl/>
        <w:spacing w:line="298" w:lineRule="auto" w:before="39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404040"/>
          <w:sz w:val="16"/>
        </w:rPr>
        <w:t>6</w:t>
      </w: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  |  OECD-WTO Trade Policy Brief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Figure 5: Correlation between implementation of SDR disciplines and participation in global value chains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5159" cy="39814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398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00" w:after="0"/>
        <w:ind w:left="28" w:right="24" w:firstLine="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Note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(1) H, UM, LM and L denote the average for high, upper−middle, lower−middle and low income economies. Number 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economies: 136 (2) Scores measure the level of inclusion of disciplines in RTAs. They are defined as simple averages across all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SDR disciplines, ranging from 0 (discipline absent) to 1 (discipline adopted). Implementation is assumed when a WTO member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has included the discipline at least once in its RTAs. GVC participation, calculated as the sum of foreign value-added in a country's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own exports (backward participation) and domestic value-added in other countries' exports (forward participation), is derived from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UNCTAD-Eora Global Value Chain Database. </w:t>
      </w:r>
    </w:p>
    <w:p>
      <w:pPr>
        <w:autoSpaceDN w:val="0"/>
        <w:autoSpaceDE w:val="0"/>
        <w:widowControl/>
        <w:spacing w:line="286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Source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: Baiker, Bertola &amp; Jelitto (2021). </w:t>
      </w:r>
    </w:p>
    <w:p>
      <w:pPr>
        <w:autoSpaceDN w:val="0"/>
        <w:autoSpaceDE w:val="0"/>
        <w:widowControl/>
        <w:spacing w:line="298" w:lineRule="auto" w:before="3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Concluding remarks </w:t>
      </w:r>
    </w:p>
    <w:p>
      <w:pPr>
        <w:autoSpaceDN w:val="0"/>
        <w:autoSpaceDE w:val="0"/>
        <w:widowControl/>
        <w:spacing w:line="247" w:lineRule="auto" w:before="190" w:after="0"/>
        <w:ind w:left="28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At a time when businesses advocate for more transparency and predictability of regulatory frameworks, and even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more so against the backdrop of the current COVID-19 pandemic, the SDR disciplines will consolidate a set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internationally recognized good regulatory practices within the WTO legal framework. Through the implementation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of these disciplines, economies can significantly lower trade costs, with an estimated reduction of around USD 150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billion annually, and reap related trade benefits, including enhancing volumes of services trade and fostering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participation in global value chains. </w:t>
      </w:r>
    </w:p>
    <w:p>
      <w:pPr>
        <w:autoSpaceDN w:val="0"/>
        <w:autoSpaceDE w:val="0"/>
        <w:widowControl/>
        <w:spacing w:line="298" w:lineRule="auto" w:before="30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1629A"/>
          <w:sz w:val="22"/>
        </w:rPr>
        <w:t xml:space="preserve">Further Reading </w:t>
      </w:r>
    </w:p>
    <w:p>
      <w:pPr>
        <w:autoSpaceDN w:val="0"/>
        <w:autoSpaceDE w:val="0"/>
        <w:widowControl/>
        <w:spacing w:line="254" w:lineRule="auto" w:before="188" w:after="0"/>
        <w:ind w:left="2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Baiker, L., Bertola, E., &amp; Jelitto, M. (2021). "Services Domestic Regulation – Locking in Good Regulatory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Practices. Analyzing the Prevalence of Services Domestic Regulation Disciplines and their Potential Linkages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with Economic Performance." </w:t>
          </w:r>
        </w:hyperlink>
      </w:r>
      <w:r>
        <w:rPr>
          <w:rFonts w:ascii="Arial" w:hAnsi="Arial" w:eastAsia="Arial"/>
          <w:b w:val="0"/>
          <w:i/>
          <w:color w:val="000000"/>
          <w:sz w:val="18"/>
        </w:rPr>
        <w:hyperlink r:id="rId23" w:history="1">
          <w:r>
            <w:rPr>
              <w:rStyle w:val="Hyperlink"/>
            </w:rPr>
            <w:t>WTO Staff Working Paper ERS</w:t>
          </w:r>
        </w:hyperlink>
      </w:r>
      <w:r>
        <w:rPr>
          <w:rFonts w:ascii="Arial" w:hAnsi="Arial" w:eastAsia="Arial"/>
          <w:b w:val="0"/>
          <w:i/>
          <w:color w:val="000000"/>
          <w:sz w:val="18"/>
        </w:rPr>
        <w:t xml:space="preserve">D-2021-14. </w:t>
      </w:r>
    </w:p>
    <w:p>
      <w:pPr>
        <w:autoSpaceDN w:val="0"/>
        <w:autoSpaceDE w:val="0"/>
        <w:widowControl/>
        <w:spacing w:line="283" w:lineRule="auto" w:before="0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3" w:history="1">
          <w:r>
            <w:rPr>
              <w:rStyle w:val="Hyperlink"/>
            </w:rPr>
            <w:t>https://www.wto.org/english/res_e/reser_e/ersd202114_e.htm</w:t>
          </w:r>
        </w:hyperlink>
      </w:r>
    </w:p>
    <w:p>
      <w:pPr>
        <w:autoSpaceDN w:val="0"/>
        <w:autoSpaceDE w:val="0"/>
        <w:widowControl/>
        <w:spacing w:line="254" w:lineRule="auto" w:before="202" w:after="0"/>
        <w:ind w:left="2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hyperlink r:id="rId23" w:history="1">
          <w:r>
            <w:rPr>
              <w:rStyle w:val="Hyperlink"/>
            </w:rPr>
            <w:t xml:space="preserve">Benz, S. and A. Jaax (2020), "The costs of regulatory barriers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to trade in services: New estimates of ad valorem </w:t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tariff equivalents", OECD Trade Poli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cy Papers, No. 238, OECD Publishing, Paris, </w:t>
      </w:r>
      <w:r>
        <w:br/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4" w:history="1">
          <w:r>
            <w:rPr>
              <w:rStyle w:val="Hyperlink"/>
            </w:rPr>
            <w:t>https://doi.org/10.1787/bae97f98-en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62" w:lineRule="auto" w:before="202" w:after="0"/>
        <w:ind w:left="2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World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 xml:space="preserve"> Trade Organization (WTO) (2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hyperlink r:id="rId25" w:history="1">
          <w:r>
            <w:rPr>
              <w:rStyle w:val="Hyperlink"/>
            </w:rPr>
            <w:t xml:space="preserve">019), “World Trade Report 2019: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The future of services trade”, Geneva: </w:t>
      </w:r>
      <w:r>
        <w:rPr>
          <w:rFonts w:ascii="ArialMT" w:hAnsi="ArialMT" w:eastAsia="ArialMT"/>
          <w:b w:val="0"/>
          <w:i w:val="0"/>
          <w:color w:val="000000"/>
          <w:sz w:val="18"/>
        </w:rPr>
        <w:t>WTO.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18"/>
          <w:u w:val="single"/>
        </w:rPr>
        <w:hyperlink r:id="rId25" w:history="1">
          <w:r>
            <w:rPr>
              <w:rStyle w:val="Hyperlink"/>
            </w:rPr>
            <w:t>https://www.wto.org/english/res_e/publications_e/wtr19_e.htm</w:t>
          </w:r>
        </w:hyperlink>
      </w:r>
    </w:p>
    <w:p>
      <w:pPr>
        <w:autoSpaceDN w:val="0"/>
        <w:autoSpaceDE w:val="0"/>
        <w:widowControl/>
        <w:spacing w:line="298" w:lineRule="auto" w:before="1014" w:after="0"/>
        <w:ind w:left="0" w:right="68" w:firstLine="0"/>
        <w:jc w:val="right"/>
      </w:pPr>
      <w:r>
        <w:rPr>
          <w:rFonts w:ascii="ArialMT" w:hAnsi="ArialMT" w:eastAsia="ArialMT"/>
          <w:b w:val="0"/>
          <w:i w:val="0"/>
          <w:color w:val="404040"/>
          <w:sz w:val="16"/>
        </w:rPr>
        <w:t xml:space="preserve">OECD-WTO Trade Policy Brief  |  </w:t>
      </w:r>
      <w:r>
        <w:rPr>
          <w:rFonts w:ascii="Arial" w:hAnsi="Arial" w:eastAsia="Arial"/>
          <w:b/>
          <w:i w:val="0"/>
          <w:color w:val="404040"/>
          <w:sz w:val="16"/>
        </w:rPr>
        <w:t>7</w:t>
      </w:r>
    </w:p>
    <w:sectPr w:rsidR="00FC693F" w:rsidRPr="0006063C" w:rsidSect="00034616">
      <w:pgSz w:w="11906" w:h="16838"/>
      <w:pgMar w:top="324" w:right="1370" w:bottom="35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wto.org/english/tratop_e/serv_e/xserv_e/jsdomreg_e.htm" TargetMode="External"/><Relationship Id="rId14" Type="http://schemas.openxmlformats.org/officeDocument/2006/relationships/hyperlink" Target="https://docs.wto.org/dol2festaff/Pages/SS/directdoc.aspx?filename=q:/INF/SDR/1.pdf&amp;Open=True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oe.cd/stri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s://www.wto.org/english/res_e/reser_e/ersd202114_e.htm" TargetMode="External"/><Relationship Id="rId24" Type="http://schemas.openxmlformats.org/officeDocument/2006/relationships/hyperlink" Target="https://doi.org/10.1787/bae97f98-en" TargetMode="External"/><Relationship Id="rId25" Type="http://schemas.openxmlformats.org/officeDocument/2006/relationships/hyperlink" Target="https://www.wto.org/english/res_e/publications_e/wtr19_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