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16" w:val="left"/>
        </w:tabs>
        <w:autoSpaceDE w:val="0"/>
        <w:widowControl/>
        <w:spacing w:line="286" w:lineRule="auto" w:before="126" w:after="208"/>
        <w:ind w:left="2188" w:right="2592" w:firstLine="0"/>
        <w:jc w:val="left"/>
      </w:pPr>
      <w:r>
        <w:rPr>
          <w:rFonts w:ascii="TimesNewRomanPS" w:hAnsi="TimesNewRomanPS" w:eastAsia="TimesNewRomanPS"/>
          <w:b/>
          <w:i w:val="0"/>
        </w:rPr>
        <w:t xml:space="preserve">NCP Community Contact Details – June 2024 </w:t>
      </w:r>
    </w:p>
    <w:p>
      <w:pPr>
        <w:sectPr>
          <w:pgSz w:w="11921" w:h="16850"/>
          <w:pgMar w:top="94" w:right="1296" w:bottom="626" w:left="13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2"/>
        <w:gridCol w:w="3082"/>
        <w:gridCol w:w="3082"/>
      </w:tblGrid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</w:rPr>
              <w:t>COUNTRY</w:t>
            </w:r>
          </w:p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</w:tbl>
    <w:p>
      <w:pPr>
        <w:sectPr>
          <w:pgSz w:w="11921" w:h="16850"/>
          <w:pgMar w:top="94" w:right="1296" w:bottom="626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18050" cy="9359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359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82"/>
        <w:gridCol w:w="3082"/>
        <w:gridCol w:w="3082"/>
      </w:tblGrid>
      <w:tr>
        <w:trPr>
          <w:trHeight w:hRule="exact" w:val="696"/>
        </w:trPr>
        <w:tc>
          <w:tcPr>
            <w:tcW w:type="dxa" w:w="2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2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</w:rPr>
              <w:t>COUNTRY</w:t>
            </w:r>
          </w:p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  <w:tr>
        <w:tc>
          <w:tcPr>
            <w:tcW w:type="dxa" w:w="3082"/>
          </w:tcPr>
          <w:p/>
        </w:tc>
        <w:tc>
          <w:tcPr>
            <w:tcW w:type="dxa" w:w="3082"/>
          </w:tcPr>
          <w:p/>
        </w:tc>
        <w:tc>
          <w:tcPr>
            <w:tcW w:type="dxa" w:w="3082"/>
          </w:tcPr>
          <w:p/>
        </w:tc>
      </w:tr>
    </w:tbl>
    <w:sectPr w:rsidR="00FC693F" w:rsidRPr="0006063C" w:rsidSect="00034616">
      <w:pgSz w:w="11921" w:h="16850"/>
      <w:pgMar w:top="94" w:right="1296" w:bottom="626" w:left="137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