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-15240</wp:posOffset>
            </wp:positionH>
            <wp:positionV relativeFrom="page">
              <wp:posOffset>-13970</wp:posOffset>
            </wp:positionV>
            <wp:extent cx="7588250" cy="10729314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107293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78" w:lineRule="exact" w:before="0" w:after="0"/>
        <w:ind w:left="0" w:right="0" w:firstLine="0"/>
        <w:jc w:val="left"/>
      </w:pPr>
      <w:r>
        <w:rPr>
          <w:rFonts w:ascii="OECDBernini" w:hAnsi="OECDBernini" w:eastAsia="OECDBernini"/>
          <w:b/>
          <w:i w:val="0"/>
          <w:color w:val="FFFFFF"/>
          <w:sz w:val="58"/>
        </w:rPr>
        <w:t xml:space="preserve">G20/OECD High-Level Principles </w:t>
      </w:r>
      <w:r>
        <w:rPr>
          <w:rFonts w:ascii="OECDBernini" w:hAnsi="OECDBernini" w:eastAsia="OECDBernini"/>
          <w:b/>
          <w:i w:val="0"/>
          <w:color w:val="FFFFFF"/>
          <w:sz w:val="58"/>
        </w:rPr>
        <w:t>on Financial Consumer Protection</w:t>
      </w:r>
    </w:p>
    <w:p>
      <w:pPr>
        <w:autoSpaceDN w:val="0"/>
        <w:autoSpaceDE w:val="0"/>
        <w:widowControl/>
        <w:spacing w:line="722" w:lineRule="exact" w:before="380" w:after="0"/>
        <w:ind w:left="56" w:right="0" w:firstLine="0"/>
        <w:jc w:val="left"/>
      </w:pPr>
      <w:r>
        <w:rPr>
          <w:rFonts w:ascii="OECDBernini" w:hAnsi="OECDBernini" w:eastAsia="OECDBernini"/>
          <w:b/>
          <w:i w:val="0"/>
          <w:color w:val="FFFFFF"/>
          <w:sz w:val="54"/>
        </w:rPr>
        <w:t>2022</w:t>
      </w:r>
    </w:p>
    <w:p>
      <w:pPr>
        <w:sectPr>
          <w:pgSz w:w="11906" w:h="16838"/>
          <w:pgMar w:top="622" w:right="956" w:bottom="1440" w:left="124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2</w:t>
      </w: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</w:p>
    <w:p>
      <w:pPr>
        <w:autoSpaceDN w:val="0"/>
        <w:autoSpaceDE w:val="0"/>
        <w:widowControl/>
        <w:spacing w:line="233" w:lineRule="auto" w:before="1097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© OECD 2022 </w:t>
      </w:r>
    </w:p>
    <w:p>
      <w:pPr>
        <w:autoSpaceDN w:val="0"/>
        <w:autoSpaceDE w:val="0"/>
        <w:widowControl/>
        <w:spacing w:line="254" w:lineRule="auto" w:before="15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This document reproduces the updated Principles that were also adopted by the OECD Council and </w:t>
      </w:r>
      <w:r>
        <w:rPr>
          <w:rFonts w:ascii="Arial" w:hAnsi="Arial" w:eastAsia="Arial"/>
          <w:b w:val="0"/>
          <w:i w:val="0"/>
          <w:color w:val="000000"/>
          <w:sz w:val="20"/>
        </w:rPr>
        <w:t>published on 12 December 2022 at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</w:t>
      </w:r>
      <w:r>
        <w:rPr>
          <w:rFonts w:ascii="Arial" w:hAnsi="Arial" w:eastAsia="Arial"/>
          <w:b w:val="0"/>
          <w:i w:val="0"/>
          <w:color w:val="0000FF"/>
          <w:sz w:val="20"/>
          <w:u w:val="single"/>
        </w:rPr>
        <w:hyperlink r:id="rId10" w:history="1">
          <w:r>
            <w:rPr>
              <w:rStyle w:val="Hyperlink"/>
            </w:rPr>
            <w:t>OECD/LEGAL/0394</w:t>
          </w:r>
        </w:hyperlink>
      </w:r>
      <w:r>
        <w:rPr>
          <w:rFonts w:ascii="Arial" w:hAnsi="Arial" w:eastAsia="Arial"/>
          <w:b w:val="0"/>
          <w:i w:val="0"/>
          <w:color w:val="000000"/>
          <w:sz w:val="20"/>
        </w:rPr>
        <w:hyperlink r:id="rId10" w:history="1">
          <w:r>
            <w:rPr>
              <w:rStyle w:val="Hyperlink"/>
            </w:rPr>
            <w:t>.</w:t>
          </w:r>
        </w:hyperlink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59" w:lineRule="auto" w:before="158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This document, as well as any data and map included herein, are without prejudice to the status of 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sovereignty over any territory, to the delimitation of international frontiers and boundaries and to the name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of any territory, city or area. </w:t>
      </w:r>
    </w:p>
    <w:p>
      <w:pPr>
        <w:autoSpaceDN w:val="0"/>
        <w:autoSpaceDE w:val="0"/>
        <w:widowControl/>
        <w:spacing w:line="233" w:lineRule="auto" w:before="1200" w:after="0"/>
        <w:ind w:left="0" w:right="2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32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92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 3</w:t>
      </w:r>
    </w:p>
    <w:p>
      <w:pPr>
        <w:autoSpaceDN w:val="0"/>
        <w:autoSpaceDE w:val="0"/>
        <w:widowControl/>
        <w:spacing w:line="240" w:lineRule="auto" w:before="1074" w:after="0"/>
        <w:ind w:left="880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56"/>
        </w:rPr>
        <w:t xml:space="preserve">G20/OECD High-Level Principles on </w:t>
      </w:r>
    </w:p>
    <w:p>
      <w:pPr>
        <w:autoSpaceDN w:val="0"/>
        <w:autoSpaceDE w:val="0"/>
        <w:widowControl/>
        <w:spacing w:line="240" w:lineRule="auto" w:before="80" w:after="0"/>
        <w:ind w:left="1388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56"/>
        </w:rPr>
        <w:t xml:space="preserve">Financial Consumer Protection </w:t>
      </w:r>
    </w:p>
    <w:p>
      <w:pPr>
        <w:autoSpaceDN w:val="0"/>
        <w:autoSpaceDE w:val="0"/>
        <w:widowControl/>
        <w:spacing w:line="233" w:lineRule="auto" w:before="658" w:after="0"/>
        <w:ind w:left="136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36"/>
        </w:rPr>
        <w:t xml:space="preserve">Background </w:t>
      </w:r>
    </w:p>
    <w:p>
      <w:pPr>
        <w:autoSpaceDN w:val="0"/>
        <w:autoSpaceDE w:val="0"/>
        <w:widowControl/>
        <w:spacing w:line="266" w:lineRule="auto" w:before="142" w:after="0"/>
        <w:ind w:left="136" w:right="4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G20/OECD High-Level Principles on Financial Consumer Protection (“the Principles”) were first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endorsed by G20 Leaders on 3-4 November 2011 and adopted by the OECD Council on 17 July 2012.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Principles were originally developed by the G20/OECD Task Force on Financial Consumer Protection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 response to the call from G20 Leaders to enhance financial consumer protection, as part of the strategic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response to the global financial crisis. The Principles set out the elements of an effective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comprehensive financial consumer protection framework. </w:t>
      </w:r>
    </w:p>
    <w:p>
      <w:pPr>
        <w:autoSpaceDN w:val="0"/>
        <w:autoSpaceDE w:val="0"/>
        <w:widowControl/>
        <w:spacing w:line="262" w:lineRule="auto" w:before="158" w:after="0"/>
        <w:ind w:left="136" w:right="4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Principles were revised and updated in 2021/2022, following a comprehensive and inclusive review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conducted by the G20/OECD Task Force on Financial Consumer Protection, in collaboration with the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Global Partnership for Financial Inclusion. The review process comprised extensive gathering and analysis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of inputs and a public and stakeholder consultation process. </w:t>
      </w:r>
    </w:p>
    <w:p>
      <w:pPr>
        <w:autoSpaceDN w:val="0"/>
        <w:autoSpaceDE w:val="0"/>
        <w:widowControl/>
        <w:spacing w:line="252" w:lineRule="auto" w:before="158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updated Principles were approved by the G20/OECD Task Force on Financial Consumer Protection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on 3 May 2022, and by the Global Partnership for Financial Inclusion on 12-13 May 2022. </w:t>
      </w:r>
    </w:p>
    <w:p>
      <w:pPr>
        <w:autoSpaceDN w:val="0"/>
        <w:autoSpaceDE w:val="0"/>
        <w:widowControl/>
        <w:spacing w:line="259" w:lineRule="auto" w:before="158" w:after="0"/>
        <w:ind w:left="136" w:right="4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updated Principles were endorsed by G20 Finance Ministers and Central Bank Governors at their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meeting on 12-13 October 2022. The updated Principles were endorsed by G20 Leaders at the Bali Summit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on 15-16 November 2022. </w:t>
      </w:r>
    </w:p>
    <w:p>
      <w:pPr>
        <w:autoSpaceDN w:val="0"/>
        <w:autoSpaceDE w:val="0"/>
        <w:widowControl/>
        <w:spacing w:line="254" w:lineRule="auto" w:before="158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updated Principles were approved by the OECD Committee on Financial Markets on 1 July 2022,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adopted by OECD Governments on 12 December 2022, via an updated Recommendation of the Council. </w:t>
      </w:r>
    </w:p>
    <w:p>
      <w:pPr>
        <w:autoSpaceDN w:val="0"/>
        <w:autoSpaceDE w:val="0"/>
        <w:widowControl/>
        <w:spacing w:line="252" w:lineRule="auto" w:before="156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Principles are also included in the Financial Stability Board Compendium of Standards and referenced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 the G20 Financial Inclusion Action Plan. </w:t>
      </w:r>
    </w:p>
    <w:p>
      <w:pPr>
        <w:autoSpaceDN w:val="0"/>
        <w:autoSpaceDE w:val="0"/>
        <w:widowControl/>
        <w:spacing w:line="233" w:lineRule="auto" w:before="376" w:after="0"/>
        <w:ind w:left="136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36"/>
        </w:rPr>
        <w:t xml:space="preserve">Context </w:t>
      </w:r>
    </w:p>
    <w:p>
      <w:pPr>
        <w:autoSpaceDN w:val="0"/>
        <w:autoSpaceDE w:val="0"/>
        <w:widowControl/>
        <w:spacing w:line="269" w:lineRule="auto" w:before="140" w:after="0"/>
        <w:ind w:left="136" w:right="4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consumer protection policies play an important role, alongside financial inclusion and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literacy, to contribute to fairer, more sustainable and inclusive growth and financial system stability. It is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important for people to have access to quality financial products and services, be included in the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system, have support to make informed decisions and have appropriate protections in place, for instance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to adequately protect people from harms or provide redress mechanisms when harms occur. Consumer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finance policies are enhanced by broader policies aimed at efficient financial system stability, regulation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corporate governance, to support the financial resilience and ultimately the well-being of individuals,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families and communities. </w:t>
      </w:r>
    </w:p>
    <w:p>
      <w:pPr>
        <w:autoSpaceDN w:val="0"/>
        <w:autoSpaceDE w:val="0"/>
        <w:widowControl/>
        <w:spacing w:line="252" w:lineRule="auto" w:before="156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G20, via the GPFI, and the OECD have played a key role in supporting and elevating the importance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of financial inclusion, financial consumer protection and financial literacy in the international arena. </w:t>
      </w:r>
    </w:p>
    <w:p>
      <w:pPr>
        <w:autoSpaceDN w:val="0"/>
        <w:autoSpaceDE w:val="0"/>
        <w:widowControl/>
        <w:spacing w:line="252" w:lineRule="auto" w:before="160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Since the endorsement of the Principles by G20 Leaders in 2011, the GPFI has produced among others: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G20 High-Level Principles for Digital Financial Inclusion (2016); the G20/OECD Policy Guidance on </w:t>
      </w:r>
    </w:p>
    <w:p>
      <w:pPr>
        <w:autoSpaceDN w:val="0"/>
        <w:autoSpaceDE w:val="0"/>
        <w:widowControl/>
        <w:spacing w:line="233" w:lineRule="auto" w:before="560" w:after="0"/>
        <w:ind w:left="13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08" w:bottom="602" w:left="11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4</w:t>
      </w: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</w:p>
    <w:p>
      <w:pPr>
        <w:autoSpaceDN w:val="0"/>
        <w:autoSpaceDE w:val="0"/>
        <w:widowControl/>
        <w:spacing w:line="266" w:lineRule="auto" w:before="336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Consumer Protection Approaches in the Digital Age (2018); G20 Fukuoka Policy Priorities 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Aging and Financial Inclusion (2019); the G20 High-Level Policy Guidelines on Digital Financial Inclusion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for Youth, Women and SMEs (2020); and the G20 Menu of Policy Options for Digital Financial Literacy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Financial Consumer and MSME Protection (2021). In addition, the Task Force produces policy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guidance in the form of effective approaches to support the implementation of the Principles, including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example, Financial Consumer Protection and Ageing Populations (2020) and Protecting Consumers’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Assets, Data and Privacy (2020). </w:t>
      </w:r>
    </w:p>
    <w:p>
      <w:pPr>
        <w:autoSpaceDN w:val="0"/>
        <w:autoSpaceDE w:val="0"/>
        <w:widowControl/>
        <w:spacing w:line="266" w:lineRule="auto" w:before="158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This body of work, guided by the Principles, recognises that consumer trust and confidence is also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important for the proper functioning of the financial system, and consumers should be knowledgeable, safe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secure in their dealings with financial services providers and their intermediaries. The integration of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consumer protection policies into regulatory and supervisory frameworks therefore contributes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strengthening financial stability, addresses information asymmetries, and ensures that consumers are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treated fairly and adequately protected from harms. </w:t>
      </w:r>
    </w:p>
    <w:p>
      <w:pPr>
        <w:autoSpaceDN w:val="0"/>
        <w:autoSpaceDE w:val="0"/>
        <w:widowControl/>
        <w:spacing w:line="266" w:lineRule="auto" w:before="158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Among other important aspects, the updated Principles recognise the importance of advancements, such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as financial innovation and digitalisation. They aim to support policymakers in ensuring that consumers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can benefit from these new opportunities while managing risks to consumers and maintaining an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appropriate degree of financial consumer protection. The updated Principles recognise that some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may experience vulnerability in the context of financial transactions or be exposed to risks such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as frauds and scams due to a combination of personal characteristics (e.g. disability, age, gender, low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education or poor linguistic proficiency), behavioural biases (e.g. overconfidence, information overload,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impulsiveness, cognitive limitations) and market conditions (e.g. unemployment). </w:t>
      </w:r>
    </w:p>
    <w:p>
      <w:pPr>
        <w:autoSpaceDN w:val="0"/>
        <w:autoSpaceDE w:val="0"/>
        <w:widowControl/>
        <w:spacing w:line="262" w:lineRule="auto" w:before="160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Importantly, the updated Principles incorporate lessons learnt from the impact of the COVID-19 pandemic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on consumers of financial products and services and trends and developments impacting consumers, such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as digitalisation and sustainable finance. These aspects ensure the updated Principles are forward looking,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represent best practice and contribute to consumers’ financial resilience and well-being. </w:t>
      </w:r>
    </w:p>
    <w:p>
      <w:pPr>
        <w:autoSpaceDN w:val="0"/>
        <w:autoSpaceDE w:val="0"/>
        <w:widowControl/>
        <w:spacing w:line="252" w:lineRule="auto" w:before="15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Principles are monitored and maintained by the G20/OECD Task Force on Financial Consumer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Protection, which conducts assessments of implementation at regular intervals. </w:t>
      </w:r>
    </w:p>
    <w:p>
      <w:pPr>
        <w:autoSpaceDN w:val="0"/>
        <w:autoSpaceDE w:val="0"/>
        <w:widowControl/>
        <w:spacing w:line="233" w:lineRule="auto" w:before="376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36"/>
        </w:rPr>
        <w:t xml:space="preserve">Cross-cutting themes </w:t>
      </w:r>
    </w:p>
    <w:p>
      <w:pPr>
        <w:autoSpaceDN w:val="0"/>
        <w:autoSpaceDE w:val="0"/>
        <w:widowControl/>
        <w:spacing w:line="254" w:lineRule="auto" w:before="14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following cross-cutting themes are relevant to the consideration and/or implementation of each and all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of the Principles, which are set out below: </w:t>
      </w:r>
    </w:p>
    <w:p>
      <w:pPr>
        <w:autoSpaceDN w:val="0"/>
        <w:tabs>
          <w:tab w:pos="678" w:val="left"/>
        </w:tabs>
        <w:autoSpaceDE w:val="0"/>
        <w:widowControl/>
        <w:spacing w:line="262" w:lineRule="auto" w:before="130" w:after="0"/>
        <w:ind w:left="340" w:right="0" w:firstLine="0"/>
        <w:jc w:val="left"/>
      </w:pPr>
      <w:r>
        <w:rPr>
          <w:rFonts w:ascii="Symbol" w:hAnsi="Symbol" w:eastAsia="Symbol"/>
          <w:b w:val="0"/>
          <w:i w:val="0"/>
          <w:color w:val="4E81BD"/>
          <w:sz w:val="20"/>
        </w:rPr>
        <w:t></w:t>
      </w:r>
      <w:r>
        <w:rPr>
          <w:rFonts w:ascii="Arial" w:hAnsi="Arial" w:eastAsia="Arial"/>
          <w:b w:val="0"/>
          <w:i w:val="0"/>
          <w:color w:val="000000"/>
          <w:sz w:val="20"/>
        </w:rPr>
        <w:t>The</w:t>
      </w:r>
      <w:r>
        <w:rPr>
          <w:rFonts w:ascii="Arial" w:hAnsi="Arial" w:eastAsia="Arial"/>
          <w:b/>
          <w:i w:val="0"/>
          <w:color w:val="000000"/>
          <w:sz w:val="20"/>
        </w:rPr>
        <w:t xml:space="preserve"> financial well-being </w:t>
      </w:r>
      <w:r>
        <w:rPr>
          <w:rFonts w:ascii="Arial" w:hAnsi="Arial" w:eastAsia="Arial"/>
          <w:b w:val="0"/>
          <w:i w:val="0"/>
          <w:color w:val="000000"/>
          <w:sz w:val="20"/>
        </w:rPr>
        <w:t>of financial consumers</w:t>
      </w:r>
      <w:r>
        <w:rPr>
          <w:rFonts w:ascii="Arial" w:hAnsi="Arial" w:eastAsia="Arial"/>
          <w:b w:val="0"/>
          <w:i w:val="0"/>
          <w:color w:val="000000"/>
          <w:sz w:val="13"/>
        </w:rPr>
        <w:t>1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and their resilience. Financial consumer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protection policies should contribute to the overall financial well-being and financial resilience of </w:t>
      </w:r>
      <w:r>
        <w:rPr>
          <w:rFonts w:ascii="Arial" w:hAnsi="Arial" w:eastAsia="Arial"/>
          <w:b w:val="0"/>
          <w:i w:val="0"/>
          <w:color w:val="000000"/>
          <w:sz w:val="20"/>
        </w:rPr>
        <w:t>consumers.</w:t>
      </w:r>
      <w:r>
        <w:rPr>
          <w:rFonts w:ascii="Arial" w:hAnsi="Arial" w:eastAsia="Arial"/>
          <w:b w:val="0"/>
          <w:i w:val="0"/>
          <w:color w:val="000000"/>
          <w:sz w:val="13"/>
        </w:rPr>
        <w:t>2</w:t>
      </w:r>
    </w:p>
    <w:p>
      <w:pPr>
        <w:autoSpaceDN w:val="0"/>
        <w:tabs>
          <w:tab w:pos="678" w:val="left"/>
        </w:tabs>
        <w:autoSpaceDE w:val="0"/>
        <w:widowControl/>
        <w:spacing w:line="264" w:lineRule="auto" w:before="78" w:after="0"/>
        <w:ind w:left="340" w:right="0" w:firstLine="0"/>
        <w:jc w:val="left"/>
      </w:pPr>
      <w:r>
        <w:rPr>
          <w:rFonts w:ascii="Symbol" w:hAnsi="Symbol" w:eastAsia="Symbol"/>
          <w:b w:val="0"/>
          <w:i w:val="0"/>
          <w:color w:val="4E81BD"/>
          <w:sz w:val="20"/>
        </w:rPr>
        <w:t>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impact, opportunities and risks of </w:t>
      </w:r>
      <w:r>
        <w:rPr>
          <w:rFonts w:ascii="Arial" w:hAnsi="Arial" w:eastAsia="Arial"/>
          <w:b/>
          <w:i w:val="0"/>
          <w:color w:val="000000"/>
          <w:sz w:val="20"/>
        </w:rPr>
        <w:t>digitalisation and technological advancements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consumers. This includes considering the ways that consumers increasingly interact with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digital financial products and services including cryptoassets and digital currencies, consumer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behaviour in a digital environment, the impact of greater use of artificial intelligence, machine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learning technology and algorithms. </w:t>
      </w:r>
    </w:p>
    <w:p>
      <w:pPr>
        <w:autoSpaceDN w:val="0"/>
        <w:tabs>
          <w:tab w:pos="678" w:val="left"/>
        </w:tabs>
        <w:autoSpaceDE w:val="0"/>
        <w:widowControl/>
        <w:spacing w:line="254" w:lineRule="auto" w:before="80" w:after="0"/>
        <w:ind w:left="340" w:right="0" w:firstLine="0"/>
        <w:jc w:val="left"/>
      </w:pPr>
      <w:r>
        <w:rPr>
          <w:rFonts w:ascii="Symbol" w:hAnsi="Symbol" w:eastAsia="Symbol"/>
          <w:b w:val="0"/>
          <w:i w:val="0"/>
          <w:color w:val="4E81BD"/>
          <w:sz w:val="20"/>
        </w:rPr>
        <w:t>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impact, opportunities and risks of </w:t>
      </w:r>
      <w:r>
        <w:rPr>
          <w:rFonts w:ascii="Arial" w:hAnsi="Arial" w:eastAsia="Arial"/>
          <w:b/>
          <w:i w:val="0"/>
          <w:color w:val="000000"/>
          <w:sz w:val="20"/>
        </w:rPr>
        <w:t>sustainable finance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for financial consumers. This includes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considering that financial services providers are increasingly incorporating environmental, social </w:t>
      </w:r>
    </w:p>
    <w:p>
      <w:pPr>
        <w:autoSpaceDN w:val="0"/>
        <w:autoSpaceDE w:val="0"/>
        <w:widowControl/>
        <w:spacing w:line="245" w:lineRule="auto" w:before="486" w:after="0"/>
        <w:ind w:left="0" w:right="42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>1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While the meaning of financial consumer is not defined so as not to restrict coverage, it is generally considered to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include private individuals at a minimum, but may also include micro and small enterprises however defined by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jurisdictions. </w:t>
      </w:r>
    </w:p>
    <w:p>
      <w:pPr>
        <w:autoSpaceDN w:val="0"/>
        <w:autoSpaceDE w:val="0"/>
        <w:widowControl/>
        <w:spacing w:line="245" w:lineRule="auto" w:before="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>2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An OECD working definition of individual financial well-being refers to being in control, feeling secure and having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freedom about one’s own current and future finances, based on objective and subjective factors. </w:t>
      </w:r>
    </w:p>
    <w:p>
      <w:pPr>
        <w:autoSpaceDN w:val="0"/>
        <w:autoSpaceDE w:val="0"/>
        <w:widowControl/>
        <w:spacing w:line="233" w:lineRule="auto" w:before="374" w:after="0"/>
        <w:ind w:left="0" w:right="3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28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2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 5</w:t>
      </w:r>
    </w:p>
    <w:p>
      <w:pPr>
        <w:autoSpaceDN w:val="0"/>
        <w:autoSpaceDE w:val="0"/>
        <w:widowControl/>
        <w:spacing w:line="252" w:lineRule="auto" w:before="330" w:after="0"/>
        <w:ind w:left="67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and governance (ESG) and other sustainability-related factors into their operations, products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services, and growing consumer demand for such products. </w:t>
      </w:r>
    </w:p>
    <w:p>
      <w:pPr>
        <w:autoSpaceDN w:val="0"/>
        <w:autoSpaceDE w:val="0"/>
        <w:widowControl/>
        <w:spacing w:line="233" w:lineRule="auto" w:before="30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4E81BD"/>
          <w:sz w:val="36"/>
        </w:rPr>
        <w:t xml:space="preserve">Principles </w:t>
      </w:r>
    </w:p>
    <w:p>
      <w:pPr>
        <w:autoSpaceDN w:val="0"/>
        <w:autoSpaceDE w:val="0"/>
        <w:widowControl/>
        <w:spacing w:line="233" w:lineRule="auto" w:before="254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1: Legal, Regulatory and Supervisory Framework </w:t>
      </w:r>
    </w:p>
    <w:p>
      <w:pPr>
        <w:autoSpaceDN w:val="0"/>
        <w:autoSpaceDE w:val="0"/>
        <w:widowControl/>
        <w:spacing w:line="264" w:lineRule="auto" w:before="222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consumer protection should be an integral part of the legal, regulatory and supervisory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framework, it should comprehensively cover all types of financial products and services and should reflect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diversity of national circumstances and global market and regulatory developments within the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sector. </w:t>
      </w:r>
    </w:p>
    <w:p>
      <w:pPr>
        <w:autoSpaceDN w:val="0"/>
        <w:autoSpaceDE w:val="0"/>
        <w:widowControl/>
        <w:spacing w:line="266" w:lineRule="auto" w:before="158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Regulation should reflect and be proportionate to the characteristics, types, risks and variety of the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products and services, providers and consumers. Regulation should account for the various rights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responsibilities of the relevant actors and be responsive to new products, services, designs, technologies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delivery channels. Approaches should be developed to address new delivery channels for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products and services, including through digital distribution, while preserving the potential benefits of these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channels for consumers. Strong and effective legal and judicial or supervisory mechanisms should exist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 consumers from and sanction against misconduct, financial frauds, abuses and errors. </w:t>
      </w:r>
    </w:p>
    <w:p>
      <w:pPr>
        <w:autoSpaceDN w:val="0"/>
        <w:autoSpaceDE w:val="0"/>
        <w:widowControl/>
        <w:spacing w:line="264" w:lineRule="auto" w:before="156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legal, regulatory and supervisory framework should provide regulators and supervisors with an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appropriate regulatory toolkit which is flexible so they can adapt to emerging risks as required, including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changes at the regulatory perimeter. Where relevant, to complement approaches relating to conduct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processes, the framework could include promoting appropriate outcomes for consumers to contribute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their financial well-being. </w:t>
      </w:r>
    </w:p>
    <w:p>
      <w:pPr>
        <w:autoSpaceDN w:val="0"/>
        <w:autoSpaceDE w:val="0"/>
        <w:widowControl/>
        <w:spacing w:line="252" w:lineRule="auto" w:before="16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>Financial services providers and intermediaries</w:t>
      </w:r>
      <w:r>
        <w:rPr>
          <w:rFonts w:ascii="Arial" w:hAnsi="Arial" w:eastAsia="Arial"/>
          <w:b w:val="0"/>
          <w:i w:val="0"/>
          <w:color w:val="000000"/>
          <w:sz w:val="13"/>
        </w:rPr>
        <w:t>3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should be appropriately and proportionately regulated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and/or supervised, with account taken of relevant service and sector specific approaches. </w:t>
      </w:r>
    </w:p>
    <w:p>
      <w:pPr>
        <w:autoSpaceDN w:val="0"/>
        <w:autoSpaceDE w:val="0"/>
        <w:widowControl/>
        <w:spacing w:line="264" w:lineRule="auto" w:before="158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Relevant non-governmental stakeholders – including industry (including small business) and consumer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organisations, professional bodies and research communities – should be consulted when policies related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to financial consumer protection and education are developed or reviewed. Access of relevant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stakeholders and in particular consumer organisations to such processes should be facilitated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enhanced.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2: Role of Oversight Bodies </w:t>
      </w:r>
    </w:p>
    <w:p>
      <w:pPr>
        <w:autoSpaceDN w:val="0"/>
        <w:autoSpaceDE w:val="0"/>
        <w:widowControl/>
        <w:spacing w:line="266" w:lineRule="auto" w:before="224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There should be oversight bodies (dedicated or not) explicitly responsible for financial consumer protection,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with the necessary authority to fulfil their mandates. They require clear and objectively defined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responsibilities and appropriate governance; operational independence; accountability for their activities;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adequate powers; resources and capabilities; defined, effective and transparent enforcement framework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clear and consistent regulatory processes. Oversight bodies should observe high professional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standards, including appropriate standards of confidentiality of consumer and proprietary information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avoidance of conflicts of interest. </w:t>
      </w:r>
    </w:p>
    <w:p>
      <w:pPr>
        <w:autoSpaceDN w:val="0"/>
        <w:autoSpaceDE w:val="0"/>
        <w:widowControl/>
        <w:spacing w:line="264" w:lineRule="auto" w:before="160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Oversight bodies should have the capability, flexibility and the appropriate range of tools and powers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carry out their role. This may mean adapting market monitoring, for instance relating to technological 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sustainable finance developments, or the power to intervene in specific, high-risk products to protect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from harm where appropriate. Oversight bodies should regularly assess the effectiveness of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supervision tools and enforcement mechanisms. Effective enforcement mechanisms may include, for </w:t>
      </w:r>
    </w:p>
    <w:p>
      <w:pPr>
        <w:autoSpaceDN w:val="0"/>
        <w:autoSpaceDE w:val="0"/>
        <w:widowControl/>
        <w:spacing w:line="245" w:lineRule="auto" w:before="298" w:after="0"/>
        <w:ind w:left="0" w:right="3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>3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Intermediaries are understood to mean third parties acting for the financial services provider or in an independent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capacity. They include any agents (tied and independent agents), representatives, brokers, advisors and distributors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etc. </w:t>
      </w:r>
    </w:p>
    <w:p>
      <w:pPr>
        <w:autoSpaceDN w:val="0"/>
        <w:autoSpaceDE w:val="0"/>
        <w:widowControl/>
        <w:spacing w:line="233" w:lineRule="auto" w:before="37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28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6</w:t>
      </w: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</w:p>
    <w:p>
      <w:pPr>
        <w:autoSpaceDN w:val="0"/>
        <w:autoSpaceDE w:val="0"/>
        <w:widowControl/>
        <w:spacing w:line="252" w:lineRule="auto" w:before="33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example, penalties, sanctions, licence revocation, variations in permissions to trade, publicising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enforcement outcomes, compensation, restitution and other remedies. </w:t>
      </w:r>
    </w:p>
    <w:p>
      <w:pPr>
        <w:autoSpaceDN w:val="0"/>
        <w:autoSpaceDE w:val="0"/>
        <w:widowControl/>
        <w:spacing w:line="259" w:lineRule="auto" w:before="156" w:after="0"/>
        <w:ind w:left="0" w:right="3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oversight approach should ensure that policy, regulatory and supervisory actions that promote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innovation, stability, integrity, inclusion or other objectives appropriately account for their effects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on financial consumer protection and consumer outcomes. </w:t>
      </w:r>
    </w:p>
    <w:p>
      <w:pPr>
        <w:autoSpaceDN w:val="0"/>
        <w:autoSpaceDE w:val="0"/>
        <w:widowControl/>
        <w:spacing w:line="266" w:lineRule="auto" w:before="156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Co-operation with other financial services oversight authorities and between authorities or departments in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charge of sectoral issues should be promoted. A level playing field across financial products and services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should be encouraged as appropriate. International co-operation between oversight bodies should also be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encouraged, while specific attention should be considered for consumer protection issues arising from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international transactions, including cross-border payments, marketing and sales, and risks arising from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digitalisation and automation of financial products and services.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3: Access and Inclusion </w:t>
      </w:r>
    </w:p>
    <w:p>
      <w:pPr>
        <w:autoSpaceDN w:val="0"/>
        <w:autoSpaceDE w:val="0"/>
        <w:widowControl/>
        <w:spacing w:line="266" w:lineRule="auto" w:before="228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Governments, oversight bodies and financial services providers and intermediaries should seek to support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consumers’ access to and use of financial products and services where possible and promote an inclusive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system. Achieving these objectives requires both addressing barriers that prevent consumers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from accessing and using financial products and services in the formal, regulated financial system, as well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as ensuring consumers remain included in the financial system, for example, in the event of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>hardship or other circumstances giving rise to financial exclusion.</w:t>
      </w:r>
      <w:r>
        <w:rPr>
          <w:rFonts w:ascii="Arial" w:hAnsi="Arial" w:eastAsia="Arial"/>
          <w:b w:val="0"/>
          <w:i w:val="0"/>
          <w:color w:val="000000"/>
          <w:sz w:val="13"/>
        </w:rPr>
        <w:t>4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To support this, policy makers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oversight bodies should consider embedding financial inclusion and financial consumer protection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objectives in policies and strategies relating to innovation. </w:t>
      </w:r>
    </w:p>
    <w:p>
      <w:pPr>
        <w:autoSpaceDN w:val="0"/>
        <w:autoSpaceDE w:val="0"/>
        <w:widowControl/>
        <w:spacing w:line="262" w:lineRule="auto" w:before="158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Governments, oversight bodies, and financial service providers should leverage digitalisation where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relevant, including the use of interoperable systems. At the same time, it should be recognised that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may have different needs and levels of digital skills that affect financial access and usage,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instance, access to cash and traditional forms of financial services may be important for some consumers. </w:t>
      </w:r>
    </w:p>
    <w:p>
      <w:pPr>
        <w:autoSpaceDN w:val="0"/>
        <w:autoSpaceDE w:val="0"/>
        <w:widowControl/>
        <w:spacing w:line="233" w:lineRule="auto" w:before="308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4: Financial Literacy and Awareness </w:t>
      </w:r>
    </w:p>
    <w:p>
      <w:pPr>
        <w:autoSpaceDN w:val="0"/>
        <w:autoSpaceDE w:val="0"/>
        <w:widowControl/>
        <w:spacing w:line="266" w:lineRule="auto" w:before="224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>Financial literacy</w:t>
      </w:r>
      <w:r>
        <w:rPr>
          <w:rFonts w:ascii="Arial" w:hAnsi="Arial" w:eastAsia="Arial"/>
          <w:b w:val="0"/>
          <w:i w:val="0"/>
          <w:color w:val="000000"/>
          <w:sz w:val="13"/>
        </w:rPr>
        <w:t>5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and awareness should be promoted by all relevant stakeholders as part of a wider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inclusion and/or literacy strategy. Appropriate mechanisms should be developed to help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gain the knowledge, skills, behaviours and attitudes to be aware, understand risks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opportunities, make informed choices, know where to go for assistance, and take effective action to support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their financial well-being and resilience. Such mechanisms may also involve enhancing digital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literacy skills, raising awareness of digital security risks and promoting safe online and digital transactions. </w:t>
      </w:r>
    </w:p>
    <w:p>
      <w:pPr>
        <w:autoSpaceDN w:val="0"/>
        <w:autoSpaceDE w:val="0"/>
        <w:widowControl/>
        <w:spacing w:line="259" w:lineRule="auto" w:before="156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literacy programmes, including clear and timely information on consumer protection, rights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responsibilities, should be easily accessible by all consumers and should be promoted, especially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relevant target groups, for example, those experiencing vulnerability. </w:t>
      </w:r>
    </w:p>
    <w:p>
      <w:pPr>
        <w:autoSpaceDN w:val="0"/>
        <w:autoSpaceDE w:val="0"/>
        <w:widowControl/>
        <w:spacing w:line="264" w:lineRule="auto" w:before="156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Taking into account national circumstances, financial literacy and awareness programmes should be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delivered through diverse and appropriate channels, including digital ones where relevant.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literacy programmes should begin at an early age and be accessible for all life stages, and should include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mechanisms to evaluate and improve their effectiveness. Further, national and international comparable </w:t>
      </w:r>
    </w:p>
    <w:p>
      <w:pPr>
        <w:autoSpaceDN w:val="0"/>
        <w:autoSpaceDE w:val="0"/>
        <w:widowControl/>
        <w:spacing w:line="245" w:lineRule="auto" w:before="358" w:after="0"/>
        <w:ind w:left="0" w:right="32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>4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Financial inclusion generally refers to the effective and quality access to and usage of – at a cost affordable to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customers and sustainable for the providers – financial services provided by formal institutions: 2017 G20 Financial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Inclusion Action Plan, GPFI July 2017. </w:t>
      </w:r>
    </w:p>
    <w:p>
      <w:pPr>
        <w:autoSpaceDN w:val="0"/>
        <w:autoSpaceDE w:val="0"/>
        <w:widowControl/>
        <w:spacing w:line="245" w:lineRule="auto" w:before="4" w:after="0"/>
        <w:ind w:left="0" w:right="32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>5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Financial literacy is defined as a combination of financial awareness, knowledge, skills, attitudes and behaviours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necessary to make sound financial decisions and ultimately achieve individual financial well-being: OECD 2020. Some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jurisdictions use different terms, for example, financial capability. Financial education is understood as the process to </w:t>
      </w:r>
      <w:r>
        <w:rPr>
          <w:rFonts w:ascii="Arial" w:hAnsi="Arial" w:eastAsia="Arial"/>
          <w:b w:val="0"/>
          <w:i w:val="0"/>
          <w:color w:val="000000"/>
          <w:sz w:val="18"/>
        </w:rPr>
        <w:t>achieve financial literacy and ultimately supporting financial well-being.</w:t>
      </w:r>
    </w:p>
    <w:p>
      <w:pPr>
        <w:autoSpaceDN w:val="0"/>
        <w:autoSpaceDE w:val="0"/>
        <w:widowControl/>
        <w:spacing w:line="233" w:lineRule="auto" w:before="374" w:after="0"/>
        <w:ind w:left="0" w:right="3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28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 7</w:t>
      </w:r>
    </w:p>
    <w:p>
      <w:pPr>
        <w:autoSpaceDN w:val="0"/>
        <w:autoSpaceDE w:val="0"/>
        <w:widowControl/>
        <w:spacing w:line="262" w:lineRule="auto" w:before="336" w:after="0"/>
        <w:ind w:left="0" w:right="2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information on financial literacy and awareness should be collected in order to assess and enhance the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effectiveness of approaches to financial literacy. All relevant stakeholders should be encouraged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implement the international principles, guidelines and methodologies on financial literacy developed by the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OECD International Network on Financial Education (INFE).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5: Competition </w:t>
      </w:r>
    </w:p>
    <w:p>
      <w:pPr>
        <w:autoSpaceDN w:val="0"/>
        <w:autoSpaceDE w:val="0"/>
        <w:widowControl/>
        <w:spacing w:line="266" w:lineRule="auto" w:before="224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Fair, efficient and competitive markets should be promoted in order to provide consumers with greater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choice amongst financial products and services, create competitive pressure on providers to offer quality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competitively priced products, enhance innovation, foster inclusion and maintain high service quality.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Policy makers should aim to ensure that competition between providers meets these objectives without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compromising consumer outcomes. Consumers should be able to search, compare, share data and, where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appropriate, switch between products and providers easily and at reasonable and disclosed costs,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instance by leveraging interoperable systems. </w:t>
      </w:r>
    </w:p>
    <w:p>
      <w:pPr>
        <w:autoSpaceDN w:val="0"/>
        <w:autoSpaceDE w:val="0"/>
        <w:widowControl/>
        <w:spacing w:line="233" w:lineRule="auto" w:before="308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6: Equitable and Fair Treatment of Consumers </w:t>
      </w:r>
    </w:p>
    <w:p>
      <w:pPr>
        <w:autoSpaceDN w:val="0"/>
        <w:autoSpaceDE w:val="0"/>
        <w:widowControl/>
        <w:spacing w:line="264" w:lineRule="auto" w:before="224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All financial consumers should be treated equitably, honestly and fairly at all stages of their relationship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with financial services providers. Treating consumers fairly should be an integral part of the good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governance and corporate culture of all financial services providers and intermediaries. The enhanced use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of digital technology to support decision making by financial services providers should not lead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inappropriate or discriminatory outcomes for consumers. </w:t>
      </w:r>
    </w:p>
    <w:p>
      <w:pPr>
        <w:autoSpaceDN w:val="0"/>
        <w:autoSpaceDE w:val="0"/>
        <w:widowControl/>
        <w:spacing w:line="264" w:lineRule="auto" w:before="160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Special attention should be paid to the treatment of consumers who may be experiencing vulnerability.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Approaches may take into account that consumer vulnerability can manifest differently and be applicable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 different circumstances, and may be due to a combination of personal characteristics, economic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situations and market conditions. Approaches could include, for example, the provision of impartial debt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advice for consumers suffering financial hardship due to over-indebtedness.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7: Disclosure and Transparency </w:t>
      </w:r>
    </w:p>
    <w:p>
      <w:pPr>
        <w:autoSpaceDN w:val="0"/>
        <w:autoSpaceDE w:val="0"/>
        <w:widowControl/>
        <w:spacing w:line="262" w:lineRule="auto" w:before="228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services providers and intermediaries should provide consumers with key information on the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fundamental benefits, risks and terms of the product, including for cross-border payments and other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transactions and regardless of the distribution channel. They should also provide information on conflicts </w:t>
      </w:r>
      <w:r>
        <w:rPr>
          <w:rFonts w:ascii="Arial" w:hAnsi="Arial" w:eastAsia="Arial"/>
          <w:b w:val="0"/>
          <w:i w:val="0"/>
          <w:color w:val="000000"/>
          <w:sz w:val="20"/>
        </w:rPr>
        <w:t>of interest associated with the intermediaries through which the product is sold.</w:t>
      </w:r>
      <w:r>
        <w:rPr>
          <w:rFonts w:ascii="Arial" w:hAnsi="Arial" w:eastAsia="Arial"/>
          <w:b w:val="0"/>
          <w:i w:val="0"/>
          <w:color w:val="000000"/>
          <w:sz w:val="13"/>
        </w:rPr>
        <w:t>6</w:t>
      </w:r>
    </w:p>
    <w:p>
      <w:pPr>
        <w:autoSpaceDN w:val="0"/>
        <w:autoSpaceDE w:val="0"/>
        <w:widowControl/>
        <w:spacing w:line="266" w:lineRule="auto" w:before="156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In particular, appropriate information should be provided on material aspects of the financial product at all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stages of the relationship with the consumer. All financial promotional material should be accurate, honest,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understandable, transparent and not misleading. Standardised pre-contractual disclosure practices (e.g.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forms) should be adopted where applicable and possible to allow comparisons between products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services of the same nature. Specific disclosure mechanisms, including possible warnings, should be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developed to provide information commensurate with the complexity and riskiness of products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services. The use of digital channels may provide innovative opportunities to engage consumers with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disclosure information via different formats. </w:t>
      </w:r>
    </w:p>
    <w:p>
      <w:pPr>
        <w:autoSpaceDN w:val="0"/>
        <w:autoSpaceDE w:val="0"/>
        <w:widowControl/>
        <w:spacing w:line="252" w:lineRule="auto" w:before="160" w:after="0"/>
        <w:ind w:left="0" w:right="0" w:firstLine="0"/>
        <w:jc w:val="center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Where possible, consumer research should be conducted and behavioural insights used to help determine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improve the effectiveness of disclosure requirements, acknowledging the limits to disclosure by itself </w:t>
      </w:r>
    </w:p>
    <w:p>
      <w:pPr>
        <w:autoSpaceDN w:val="0"/>
        <w:autoSpaceDE w:val="0"/>
        <w:widowControl/>
        <w:spacing w:line="245" w:lineRule="auto" w:before="300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>6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Financial services providers and intermediaries should provide clear, concise, accurate, reliable, comparable, easily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accessible, and timely written and oral information on the financial products and services being offered, particularly on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key features of the products and (where relevant) on possible alternative services or products, including simpler ones,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they provide. In principle, information should include prices, costs, penalties, surrender charges, risks and termination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modalities. </w:t>
      </w:r>
    </w:p>
    <w:p>
      <w:pPr>
        <w:autoSpaceDN w:val="0"/>
        <w:autoSpaceDE w:val="0"/>
        <w:widowControl/>
        <w:spacing w:line="233" w:lineRule="auto" w:before="62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30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8</w:t>
      </w: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</w:p>
    <w:p>
      <w:pPr>
        <w:autoSpaceDN w:val="0"/>
        <w:autoSpaceDE w:val="0"/>
        <w:widowControl/>
        <w:spacing w:line="264" w:lineRule="auto" w:before="336" w:after="0"/>
        <w:ind w:left="0" w:right="2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in terms of ensuring consumer understanding and engagement. Improved transparency may help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make more informed choices and encourage financial institutions to address these factors. For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example, as sustainable finance becomes increasingly important to consumers and financial services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providers, transparency on methodology will be important to help consumers understand their investments </w:t>
      </w:r>
      <w:r>
        <w:rPr>
          <w:rFonts w:ascii="Arial" w:hAnsi="Arial" w:eastAsia="Arial"/>
          <w:b w:val="0"/>
          <w:i w:val="0"/>
          <w:color w:val="000000"/>
          <w:sz w:val="20"/>
        </w:rPr>
        <w:t>and counter the risk of greenwashing.</w:t>
      </w:r>
      <w:r>
        <w:rPr>
          <w:rFonts w:ascii="Arial" w:hAnsi="Arial" w:eastAsia="Arial"/>
          <w:b w:val="0"/>
          <w:i w:val="0"/>
          <w:color w:val="000000"/>
          <w:sz w:val="13"/>
        </w:rPr>
        <w:t>7</w:t>
      </w:r>
    </w:p>
    <w:p>
      <w:pPr>
        <w:autoSpaceDN w:val="0"/>
        <w:autoSpaceDE w:val="0"/>
        <w:widowControl/>
        <w:spacing w:line="254" w:lineRule="auto" w:before="15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should also be made aware of the importance of providing financial services providers with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relevant, accurate and available information.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8: Quality Financial Products </w:t>
      </w:r>
    </w:p>
    <w:p>
      <w:pPr>
        <w:autoSpaceDN w:val="0"/>
        <w:autoSpaceDE w:val="0"/>
        <w:widowControl/>
        <w:spacing w:line="266" w:lineRule="auto" w:before="224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Quality financial products are those that are designed to meet the interests and objectives of the target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and to contribute to their financial well-being. There should be appropriate product oversight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governance by financial services providers, and where appropriate, by intermediaries, to ensure that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quality financial products are designed and distributed. This may include requirements for appropriate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systems to design, approve, manage and monitor financial products through their life cycle to ensure that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they meet the interests and objectives, and aim to contribute to the financial well-being, of consumers that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products and services are designed for, as well as the relevant regulatory requirements. </w:t>
      </w:r>
    </w:p>
    <w:p>
      <w:pPr>
        <w:autoSpaceDN w:val="0"/>
        <w:autoSpaceDE w:val="0"/>
        <w:widowControl/>
        <w:spacing w:line="262" w:lineRule="auto" w:before="160" w:after="0"/>
        <w:ind w:left="0" w:right="2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In order to promote quality financial products that offer value to consumers, financial services providers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may be required to define a target market for a financial product, conduct research and consider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behavioural insights to understand the target market and, depending on the type, complexity and risk of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product, carry out testing before launching the product. </w:t>
      </w:r>
    </w:p>
    <w:p>
      <w:pPr>
        <w:autoSpaceDN w:val="0"/>
        <w:autoSpaceDE w:val="0"/>
        <w:widowControl/>
        <w:spacing w:line="250" w:lineRule="auto" w:before="304" w:after="0"/>
        <w:ind w:left="0" w:right="144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9: Responsible Business Conduct and Culture of Financial Services Providers </w:t>
      </w:r>
      <w:r>
        <w:rPr>
          <w:rFonts w:ascii="Arial" w:hAnsi="Arial" w:eastAsia="Arial"/>
          <w:b/>
          <w:i/>
          <w:color w:val="000000"/>
          <w:sz w:val="22"/>
        </w:rPr>
        <w:t xml:space="preserve">and Intermediaries </w:t>
      </w:r>
    </w:p>
    <w:p>
      <w:pPr>
        <w:autoSpaceDN w:val="0"/>
        <w:autoSpaceDE w:val="0"/>
        <w:widowControl/>
        <w:spacing w:line="259" w:lineRule="auto" w:before="224" w:after="0"/>
        <w:ind w:left="0" w:right="22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services providers and intermediaries should have as an objective to work in the best interest of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 and be responsible for upholding financial consumer protection. Financial services providers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should also be responsible and accountable for the actions of their intermediaries. </w:t>
      </w:r>
    </w:p>
    <w:p>
      <w:pPr>
        <w:autoSpaceDN w:val="0"/>
        <w:autoSpaceDE w:val="0"/>
        <w:widowControl/>
        <w:spacing w:line="259" w:lineRule="auto" w:before="156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conduct and culture of financial services providers and their intermediaries should be aligned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promoting the fair treatment of consumers and achieving appropriate consumer outcomes that contribute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to their financial well-being. </w:t>
      </w:r>
    </w:p>
    <w:p>
      <w:pPr>
        <w:autoSpaceDN w:val="0"/>
        <w:autoSpaceDE w:val="0"/>
        <w:widowControl/>
        <w:spacing w:line="264" w:lineRule="auto" w:before="156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Depending on the nature of the transaction and based on information primarily provided by consumers,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services providers and intermediaries should assess the related financial capabilities, situation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needs of consumers before agreeing to provide them with a product, advice or service. They should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recommend to consumers suitable products or services that aim to deliver appropriate outcomes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ultimately contribute to their financial well-being. </w:t>
      </w:r>
    </w:p>
    <w:p>
      <w:pPr>
        <w:autoSpaceDN w:val="0"/>
        <w:autoSpaceDE w:val="0"/>
        <w:widowControl/>
        <w:spacing w:line="266" w:lineRule="auto" w:before="160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services providers and intermediaries (especially those who interact directly with consumers)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should be properly trained and qualified. Financial services providers and intermediaries should endeavour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to avoid conflicts of interest, for example, from remuneration or other incentive structures. When such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conflicts cannot be avoided, financial services providers and intermediaries should mitigate the impact by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having in place internal mechanisms to manage such conflicts, ensure proper disclosure or decline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provide the product, advice or service. Disclosure as a means of effectively managing conflicts of interest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may be limited due to consumer understanding and behavioural responses, and behavioural insights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should be used, where relevant, to test and inform approaches. </w:t>
      </w:r>
    </w:p>
    <w:p>
      <w:pPr>
        <w:autoSpaceDN w:val="0"/>
        <w:autoSpaceDE w:val="0"/>
        <w:widowControl/>
        <w:spacing w:line="259" w:lineRule="auto" w:before="71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>7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Generally, greenwashing is understood as financial products being marketed as being more environmentally friendly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than they are. </w:t>
      </w:r>
    </w:p>
    <w:p>
      <w:pPr>
        <w:autoSpaceDN w:val="0"/>
        <w:autoSpaceDE w:val="0"/>
        <w:widowControl/>
        <w:spacing w:line="233" w:lineRule="auto" w:before="504" w:after="0"/>
        <w:ind w:left="0" w:right="3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28" w:bottom="602" w:left="13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2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2"/>
        </w:rPr>
        <w:t>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 9</w:t>
      </w:r>
    </w:p>
    <w:p>
      <w:pPr>
        <w:autoSpaceDN w:val="0"/>
        <w:autoSpaceDE w:val="0"/>
        <w:widowControl/>
        <w:spacing w:line="262" w:lineRule="auto" w:before="336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provision of advice, regardless of the distribution channel, should be objective, in the best interests of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consumer and should be based on the consumer’s profile considering the complexity of the product,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risks associated with it, as well as the consumer’s financial objectives, knowledge, capabilities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experience. </w:t>
      </w:r>
    </w:p>
    <w:p>
      <w:pPr>
        <w:autoSpaceDN w:val="0"/>
        <w:autoSpaceDE w:val="0"/>
        <w:widowControl/>
        <w:spacing w:line="259" w:lineRule="auto" w:before="158" w:after="0"/>
        <w:ind w:left="0" w:right="3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remuneration structure for both financial services providers and intermediaries should be disclosed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and made transparent to consumers, and be designed to encourage responsible business conduct, fair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treatment of consumers and to avoid conflicts of interest. </w:t>
      </w:r>
    </w:p>
    <w:p>
      <w:pPr>
        <w:autoSpaceDN w:val="0"/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10: Protection of Consumer Assets against Fraud, Scams and Misuse </w:t>
      </w:r>
    </w:p>
    <w:p>
      <w:pPr>
        <w:autoSpaceDN w:val="0"/>
        <w:autoSpaceDE w:val="0"/>
        <w:widowControl/>
        <w:spacing w:line="266" w:lineRule="auto" w:before="224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Relevant information, control and protection mechanisms should be appropriately developed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implemented by oversight authorities and financial services providers and with a high degree of certainty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 consumers’ deposits, savings, and other similar financial assets, including against fraud, scams,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misappropriation or other misuses. These protection mechanisms should be readily adapted to the ways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new technologies, such as digital assets, are used, as well as to online scams, fraud and misuse,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other digital security risks. They should include clear and transparent liability arrangements between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financial services providers and consumers in the event of financial loss. </w:t>
      </w:r>
    </w:p>
    <w:p>
      <w:pPr>
        <w:autoSpaceDN w:val="0"/>
        <w:autoSpaceDE w:val="0"/>
        <w:widowControl/>
        <w:spacing w:line="262" w:lineRule="auto" w:before="160" w:after="0"/>
        <w:ind w:left="0" w:right="3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Policy makers and oversight authorities should work collaboratively with relevant stakeholders, including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other government and regulatory agencies, digital security agencies, law enforcement agencies, financial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services industry and utility companies, to raise public awareness of digital security risks and promote safe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online and digital transactions. </w:t>
      </w:r>
    </w:p>
    <w:p>
      <w:pPr>
        <w:autoSpaceDN w:val="0"/>
        <w:autoSpaceDE w:val="0"/>
        <w:widowControl/>
        <w:spacing w:line="233" w:lineRule="auto" w:before="304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11: Protection of Consumer Data and Privacy </w:t>
      </w:r>
    </w:p>
    <w:p>
      <w:pPr>
        <w:autoSpaceDN w:val="0"/>
        <w:autoSpaceDE w:val="0"/>
        <w:widowControl/>
        <w:spacing w:line="266" w:lineRule="auto" w:before="226" w:after="0"/>
        <w:ind w:left="0" w:right="2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Consumers’ financial and personal information should be protected through appropriate control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protection mechanisms. These mechanisms should define the purposes for which the data may be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collected, processed, held, used and disclosed (especially to third parties). The mechanisms should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acknowledge the rights of consumers regarding consenting to data-sharing, accessing their data, being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informed about breaches impacting their data, and seeking redress such as the prompt correction and/or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deletion of inaccurate, or unlawfully collected or processed data. There should be co-operation among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oversight bodies responsible for consumer data protection and privacy. </w:t>
      </w:r>
    </w:p>
    <w:p>
      <w:pPr>
        <w:autoSpaceDN w:val="0"/>
        <w:autoSpaceDE w:val="0"/>
        <w:widowControl/>
        <w:spacing w:line="233" w:lineRule="auto" w:before="308" w:after="0"/>
        <w:ind w:left="0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Principle 12: Complaints Handling and Redress </w:t>
      </w:r>
    </w:p>
    <w:p>
      <w:pPr>
        <w:autoSpaceDN w:val="0"/>
        <w:autoSpaceDE w:val="0"/>
        <w:widowControl/>
        <w:spacing w:line="266" w:lineRule="auto" w:before="224" w:after="0"/>
        <w:ind w:left="0" w:right="2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Jurisdictions should ensure that consumers have access to adequate complaints handling and redress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mechanisms that are accessible, affordable, independent, fair, accountable, timely and efficient. </w:t>
      </w:r>
      <w:r>
        <w:rPr>
          <w:rFonts w:ascii="Arial" w:hAnsi="Arial" w:eastAsia="Arial"/>
          <w:b w:val="0"/>
          <w:i w:val="0"/>
          <w:color w:val="000000"/>
          <w:sz w:val="20"/>
        </w:rPr>
        <w:t>Technology may be leveraged to facilitate the effective design of these</w:t>
      </w:r>
      <w:r>
        <w:rPr>
          <w:rFonts w:ascii="Arial" w:hAnsi="Arial" w:eastAsia="Arial"/>
          <w:b w:val="0"/>
          <w:i w:val="0"/>
          <w:strike/>
          <w:color w:val="000000"/>
          <w:sz w:val="20"/>
        </w:rPr>
        <w:t xml:space="preserve">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mechanisms, which should not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impose unreasonable cost, delays or burdens on consumers. The needs of consumers, including those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experiencing vulnerability, should be considered when designing and publicising complaints handling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redress mechanisms. </w:t>
      </w:r>
    </w:p>
    <w:p>
      <w:pPr>
        <w:autoSpaceDN w:val="0"/>
        <w:autoSpaceDE w:val="0"/>
        <w:widowControl/>
        <w:spacing w:line="259" w:lineRule="auto" w:before="158" w:after="0"/>
        <w:ind w:left="0" w:right="30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In accordance with the above, financial services providers and intermediaries should have in place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mechanisms for complaint handling and redress. Such mechanisms should allow providers to monitor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address systemic issues and support improved financial consumer outcomes. </w:t>
      </w:r>
    </w:p>
    <w:p>
      <w:pPr>
        <w:autoSpaceDN w:val="0"/>
        <w:autoSpaceDE w:val="0"/>
        <w:widowControl/>
        <w:spacing w:line="264" w:lineRule="auto" w:before="158" w:after="0"/>
        <w:ind w:left="0" w:right="2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Recourse to an independent redress process should be available to address complaints that are not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efficiently resolved via the financial services providers’ and intermediaries’ internal dispute resolution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mechanisms. At a minimum, aggregate information with respect to complaints and their resolutions should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be made public. Information relating to consumer complaints should be available to oversight bodies to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support their supervisory or enforcement functions. </w:t>
      </w:r>
    </w:p>
    <w:p>
      <w:pPr>
        <w:autoSpaceDN w:val="0"/>
        <w:autoSpaceDE w:val="0"/>
        <w:widowControl/>
        <w:spacing w:line="233" w:lineRule="auto" w:before="802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G20/OECD HIGH-LEVEL PRINCIPLES ON FINANCIAL CONSUMER PROTECTION </w:t>
      </w:r>
    </w:p>
    <w:p>
      <w:pPr>
        <w:sectPr>
          <w:pgSz w:w="11906" w:h="16838"/>
          <w:pgMar w:top="622" w:right="1228" w:bottom="602" w:left="1304" w:header="720" w:footer="720" w:gutter="0"/>
          <w:cols/>
          <w:docGrid w:linePitch="360"/>
        </w:sectPr>
      </w:pPr>
    </w:p>
    <w:sectPr w:rsidR="00FC693F" w:rsidRPr="0006063C" w:rsidSect="00034616">
      <w:pgSz w:w="11906" w:h="16838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legalinstruments.oecd.org/en/instruments/OECD-LEGAL-039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