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594" w:after="0"/>
        <w:ind w:left="0" w:right="5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65250" cy="322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2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2" w:lineRule="exact" w:before="606" w:after="414"/>
        <w:ind w:left="864" w:right="864" w:firstLine="0"/>
        <w:jc w:val="center"/>
      </w:pPr>
      <w:r>
        <w:rPr>
          <w:rFonts w:ascii="Ballinger" w:hAnsi="Ballinger" w:eastAsia="Ballinger"/>
          <w:b/>
          <w:i w:val="0"/>
        </w:rPr>
        <w:t xml:space="preserve">GLOBAL INSURANCE MARKET TRENDS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15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156" w:bottom="418" w:left="1440" w:header="720" w:footer="720" w:gutter="0"/>
          <w:cols w:num="2" w:equalWidth="0">
            <w:col w:w="5978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336" w:bottom="418" w:left="1440" w:header="720" w:footer="720" w:gutter="0"/>
          <w:cols w:num="2" w:equalWidth="0">
            <w:col w:w="5978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336" w:bottom="418" w:left="1440" w:header="720" w:footer="720" w:gutter="0"/>
          <w:cols w:num="2" w:equalWidth="0">
            <w:col w:w="5978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306" w:bottom="418" w:left="1424" w:header="720" w:footer="720" w:gutter="0"/>
          <w:cols w:num="2" w:equalWidth="0">
            <w:col w:w="5978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306" w:bottom="418" w:left="1424" w:header="720" w:footer="720" w:gutter="0"/>
          <w:cols w:num="2" w:equalWidth="0">
            <w:col w:w="5994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336" w:bottom="418" w:left="1440" w:header="720" w:footer="720" w:gutter="0"/>
          <w:cols w:num="2" w:equalWidth="0">
            <w:col w:w="5994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336" w:bottom="418" w:left="1440" w:header="720" w:footer="720" w:gutter="0"/>
          <w:cols w:num="2" w:equalWidth="0">
            <w:col w:w="5978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336" w:bottom="418" w:left="1392" w:header="720" w:footer="720" w:gutter="0"/>
          <w:cols w:num="2" w:equalWidth="0">
            <w:col w:w="5978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7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336" w:bottom="418" w:left="1392" w:header="720" w:footer="720" w:gutter="0"/>
          <w:cols w:num="2" w:equalWidth="0">
            <w:col w:w="6025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1336" w:bottom="418" w:left="1264" w:header="720" w:footer="720" w:gutter="0"/>
          <w:cols w:num="2" w:equalWidth="0">
            <w:col w:w="6025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19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p>
      <w:pPr>
        <w:sectPr>
          <w:type w:val="continuous"/>
          <w:pgSz w:w="11906" w:h="16841"/>
          <w:pgMar w:top="422" w:right="1336" w:bottom="418" w:left="1264" w:header="720" w:footer="720" w:gutter="0"/>
          <w:cols w:num="2" w:equalWidth="0">
            <w:col w:w="615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1906" w:h="16841"/>
          <w:pgMar w:top="422" w:right="938" w:bottom="418" w:left="1116" w:header="720" w:footer="720" w:gutter="0"/>
          <w:cols w:num="2" w:equalWidth="0">
            <w:col w:w="615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346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GLOBAL INSURANCE MARKET TRENDS - PRELIMINARY 2024 DATA </w:t>
      </w:r>
    </w:p>
    <w:sectPr w:rsidR="00FC693F" w:rsidRPr="0006063C" w:rsidSect="00034616">
      <w:type w:val="continuous"/>
      <w:pgSz w:w="11906" w:h="16841"/>
      <w:pgMar w:top="422" w:right="938" w:bottom="418" w:left="1116" w:header="720" w:footer="720" w:gutter="0"/>
      <w:cols w:num="2" w:equalWidth="0">
        <w:col w:w="6301" w:space="0"/>
        <w:col w:w="35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