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N w:val="0"/>
        <w:autoSpaceDE w:val="0"/>
        <w:widowControl/>
        <w:spacing w:line="240" w:lineRule="auto" w:before="594" w:after="0"/>
        <w:ind w:left="0" w:right="542" w:firstLine="0"/>
        <w:jc w:val="right"/>
      </w:pPr>
      <w:r>
        <w:drawing>
          <wp:inline xmlns:a="http://schemas.openxmlformats.org/drawingml/2006/main" xmlns:pic="http://schemas.openxmlformats.org/drawingml/2006/picture">
            <wp:extent cx="1365250" cy="32258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365250" cy="322580"/>
                    </a:xfrm>
                    <a:prstGeom prst="rect"/>
                  </pic:spPr>
                </pic:pic>
              </a:graphicData>
            </a:graphic>
          </wp:inline>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342900</wp:posOffset>
            </wp:positionH>
            <wp:positionV relativeFrom="page">
              <wp:posOffset>4254500</wp:posOffset>
            </wp:positionV>
            <wp:extent cx="1955800" cy="2514600"/>
            <wp:wrapNone/>
            <wp:docPr id="3" name="Picture 3"/>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1955800" cy="25146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2613660</wp:posOffset>
            </wp:positionH>
            <wp:positionV relativeFrom="page">
              <wp:posOffset>4262120</wp:posOffset>
            </wp:positionV>
            <wp:extent cx="1896110" cy="1081375"/>
            <wp:wrapNone/>
            <wp:docPr id="4" name="Picture 4"/>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1896110" cy="1081375"/>
                    </a:xfrm>
                    <a:prstGeom prst="rect"/>
                  </pic:spPr>
                </pic:pic>
              </a:graphicData>
            </a:graphic>
          </wp:anchor>
        </w:drawing>
      </w:r>
    </w:p>
    <w:p>
      <w:pPr>
        <w:autoSpaceDN w:val="0"/>
        <w:autoSpaceDE w:val="0"/>
        <w:widowControl/>
        <w:spacing w:line="532" w:lineRule="exact" w:before="606" w:after="414"/>
        <w:ind w:left="864" w:right="864" w:firstLine="0"/>
        <w:jc w:val="center"/>
      </w:pPr>
      <w:r>
        <w:rPr>
          <w:rFonts w:ascii="Ballinger" w:hAnsi="Ballinger" w:eastAsia="Ballinger"/>
          <w:b/>
          <w:i w:val="0"/>
          <w:color w:val="037BC1"/>
          <w:sz w:val="57"/>
        </w:rPr>
        <w:t xml:space="preserve">GLOBAL INSURANCE MARKET TRENDS </w:t>
      </w:r>
      <w:r>
        <w:rPr>
          <w:rFonts w:ascii="Ballinger" w:hAnsi="Ballinger" w:eastAsia="Ballinger"/>
          <w:b w:val="0"/>
          <w:i w:val="0"/>
          <w:color w:val="262625"/>
          <w:sz w:val="54"/>
        </w:rPr>
        <w:t>Preliminary 2024 data - June 2025</w:t>
      </w:r>
    </w:p>
    <w:tbl>
      <w:tblPr>
        <w:tblW w:type="auto" w:w="0"/>
        <w:tblLayout w:type="fixed"/>
        <w:tblLook w:firstColumn="1" w:firstRow="1" w:lastColumn="0" w:lastRow="0" w:noHBand="0" w:noVBand="1" w:val="04A0"/>
        <w:tblInd w:w="480.0" w:type="dxa"/>
      </w:tblPr>
      <w:tblGrid>
        <w:gridCol w:w="2256"/>
        <w:gridCol w:w="2256"/>
        <w:gridCol w:w="2256"/>
        <w:gridCol w:w="2256"/>
      </w:tblGrid>
      <w:tr>
        <w:trPr>
          <w:trHeight w:hRule="exact" w:val="3114"/>
        </w:trPr>
        <w:tc>
          <w:tcPr>
            <w:tcW w:type="dxa" w:w="1140"/>
            <w:tcBorders/>
            <w:shd w:fill="ffffff"/>
            <w:tcMar>
              <w:start w:w="0" w:type="dxa"/>
              <w:end w:w="0" w:type="dxa"/>
            </w:tcMar>
          </w:tcPr>
          <w:p>
            <w:pPr>
              <w:autoSpaceDN w:val="0"/>
              <w:autoSpaceDE w:val="0"/>
              <w:widowControl/>
              <w:spacing w:line="240" w:lineRule="auto" w:before="66" w:after="0"/>
              <w:ind w:left="0" w:right="80" w:firstLine="0"/>
              <w:jc w:val="right"/>
            </w:pPr>
            <w:r>
              <w:drawing>
                <wp:inline xmlns:a="http://schemas.openxmlformats.org/drawingml/2006/main" xmlns:pic="http://schemas.openxmlformats.org/drawingml/2006/picture">
                  <wp:extent cx="368300" cy="173355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368300" cy="1733550"/>
                          </a:xfrm>
                          <a:prstGeom prst="rect"/>
                        </pic:spPr>
                      </pic:pic>
                    </a:graphicData>
                  </a:graphic>
                </wp:inline>
              </w:drawing>
            </w:r>
          </w:p>
        </w:tc>
        <w:tc>
          <w:tcPr>
            <w:tcW w:type="dxa" w:w="9820"/>
            <w:gridSpan w:val="3"/>
            <w:tcBorders/>
            <w:shd w:fill="ffffff"/>
            <w:tcMar>
              <w:start w:w="0" w:type="dxa"/>
              <w:end w:w="0" w:type="dxa"/>
            </w:tcMar>
            <w:tcMar>
              <w:start w:w="0" w:type="dxa"/>
              <w:end w:w="0" w:type="dxa"/>
            </w:tcMar>
            <w:tcMar>
              <w:start w:w="0" w:type="dxa"/>
              <w:end w:w="0" w:type="dxa"/>
            </w:tcMar>
          </w:tcPr>
          <w:p>
            <w:pPr>
              <w:autoSpaceDN w:val="0"/>
              <w:tabs>
                <w:tab w:pos="302" w:val="left"/>
              </w:tabs>
              <w:autoSpaceDE w:val="0"/>
              <w:widowControl/>
              <w:spacing w:line="316" w:lineRule="exact" w:before="134" w:after="0"/>
              <w:ind w:left="82" w:right="288" w:firstLine="0"/>
              <w:jc w:val="left"/>
            </w:pPr>
            <w:r>
              <w:rPr>
                <w:rFonts w:ascii="SourceSans3" w:hAnsi="SourceSans3" w:eastAsia="SourceSans3"/>
                <w:b/>
                <w:i w:val="0"/>
                <w:color w:val="2E2E2E"/>
                <w:sz w:val="30"/>
              </w:rPr>
              <w:t xml:space="preserve">Insurers witnessed ongoing premium growth in 2024, with an uptick in </w:t>
            </w:r>
            <w:r>
              <w:rPr>
                <w:rFonts w:ascii="SourceSans3" w:hAnsi="SourceSans3" w:eastAsia="SourceSans3"/>
                <w:b/>
                <w:i w:val="0"/>
                <w:color w:val="2E2E2E"/>
                <w:sz w:val="30"/>
              </w:rPr>
              <w:t>the life sector, while also registering investment gains</w:t>
            </w:r>
            <w:r>
              <w:br/>
            </w:r>
            <w:r>
              <w:rPr>
                <w:rFonts w:ascii="TimesNewRomanPSMT" w:hAnsi="TimesNewRomanPSMT" w:eastAsia="TimesNewRomanPSMT"/>
                <w:b w:val="0"/>
                <w:i w:val="0"/>
                <w:color w:val="2E2E2E"/>
                <w:sz w:val="26"/>
              </w:rPr>
              <w:t>•</w:t>
            </w:r>
            <w:r>
              <w:rPr>
                <w:rFonts w:ascii="SourceSans3" w:hAnsi="SourceSans3" w:eastAsia="SourceSans3"/>
                <w:b w:val="0"/>
                <w:i w:val="0"/>
                <w:color w:val="2E2E2E"/>
                <w:sz w:val="26"/>
              </w:rPr>
              <w:t xml:space="preserve"> Growth in non-life premiums remained significant, while growth in claims paid was </w:t>
            </w:r>
            <w:r>
              <w:tab/>
            </w:r>
            <w:r>
              <w:rPr>
                <w:rFonts w:ascii="SourceSans3" w:hAnsi="SourceSans3" w:eastAsia="SourceSans3"/>
                <w:b w:val="0"/>
                <w:i w:val="0"/>
                <w:color w:val="2E2E2E"/>
                <w:sz w:val="26"/>
              </w:rPr>
              <w:t xml:space="preserve">more moderate thanks to easing inflation and claims costs </w:t>
            </w:r>
            <w:r>
              <w:br/>
            </w:r>
            <w:r>
              <w:rPr>
                <w:rFonts w:ascii="TimesNewRomanPSMT" w:hAnsi="TimesNewRomanPSMT" w:eastAsia="TimesNewRomanPSMT"/>
                <w:b w:val="0"/>
                <w:i w:val="0"/>
                <w:color w:val="2E2E2E"/>
                <w:sz w:val="26"/>
              </w:rPr>
              <w:t>•</w:t>
            </w:r>
            <w:r>
              <w:rPr>
                <w:rFonts w:ascii="SourceSans3" w:hAnsi="SourceSans3" w:eastAsia="SourceSans3"/>
                <w:b w:val="0"/>
                <w:i w:val="0"/>
                <w:color w:val="2E2E2E"/>
                <w:sz w:val="26"/>
              </w:rPr>
              <w:t xml:space="preserve"> A favourable financial market environment boosted demand for life insurance, </w:t>
            </w:r>
            <w:r>
              <w:tab/>
            </w:r>
            <w:r>
              <w:rPr>
                <w:rFonts w:ascii="SourceSans3" w:hAnsi="SourceSans3" w:eastAsia="SourceSans3"/>
                <w:b w:val="0"/>
                <w:i w:val="0"/>
                <w:color w:val="2E2E2E"/>
                <w:sz w:val="26"/>
              </w:rPr>
              <w:t>increasing premium growth</w:t>
            </w:r>
            <w:r>
              <w:br/>
            </w:r>
            <w:r>
              <w:rPr>
                <w:rFonts w:ascii="TimesNewRomanPSMT" w:hAnsi="TimesNewRomanPSMT" w:eastAsia="TimesNewRomanPSMT"/>
                <w:b w:val="0"/>
                <w:i w:val="0"/>
                <w:color w:val="2E2E2E"/>
                <w:sz w:val="26"/>
              </w:rPr>
              <w:t>•</w:t>
            </w:r>
            <w:r>
              <w:rPr>
                <w:rFonts w:ascii="SourceSans3" w:hAnsi="SourceSans3" w:eastAsia="SourceSans3"/>
                <w:b w:val="0"/>
                <w:i w:val="0"/>
                <w:color w:val="2E2E2E"/>
                <w:sz w:val="26"/>
              </w:rPr>
              <w:t xml:space="preserve"> Insurers generally secured investment gains, driven by positive developments in </w:t>
            </w:r>
            <w:r>
              <w:tab/>
            </w:r>
            <w:r>
              <w:rPr>
                <w:rFonts w:ascii="SourceSans3" w:hAnsi="SourceSans3" w:eastAsia="SourceSans3"/>
                <w:b w:val="0"/>
                <w:i w:val="0"/>
                <w:color w:val="2E2E2E"/>
                <w:sz w:val="26"/>
              </w:rPr>
              <w:t xml:space="preserve">equity markets </w:t>
            </w:r>
          </w:p>
        </w:tc>
      </w:tr>
      <w:tr>
        <w:trPr>
          <w:trHeight w:hRule="exact" w:val="1220"/>
        </w:trPr>
        <w:tc>
          <w:tcPr>
            <w:tcW w:type="dxa" w:w="3594"/>
            <w:gridSpan w:val="2"/>
            <w:vMerge w:val="restart"/>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18" w:lineRule="exact" w:before="936" w:after="0"/>
              <w:ind w:left="646" w:right="0" w:firstLine="0"/>
              <w:jc w:val="left"/>
            </w:pPr>
            <w:r>
              <w:rPr>
                <w:w w:val="101.79999669392903"/>
                <w:rFonts w:ascii="SourceSans3" w:hAnsi="SourceSans3" w:eastAsia="SourceSans3"/>
                <w:b/>
                <w:i w:val="0"/>
                <w:color w:val="FFFFFF"/>
                <w:sz w:val="24"/>
              </w:rPr>
              <w:t>IN THIS ISSUE</w:t>
            </w:r>
          </w:p>
        </w:tc>
        <w:tc>
          <w:tcPr>
            <w:tcW w:type="dxa" w:w="3072"/>
            <w:tcBorders/>
            <w:shd w:fill="ffffff"/>
            <w:tcMar>
              <w:start w:w="0" w:type="dxa"/>
              <w:end w:w="0" w:type="dxa"/>
            </w:tcMar>
          </w:tcPr>
          <w:p>
            <w:pPr>
              <w:autoSpaceDN w:val="0"/>
              <w:autoSpaceDE w:val="0"/>
              <w:widowControl/>
              <w:spacing w:line="404" w:lineRule="exact" w:before="0" w:after="0"/>
              <w:ind w:left="0" w:right="0"/>
            </w:pPr>
          </w:p>
          <w:tbl>
            <w:tblPr>
              <w:tblW w:type="auto" w:w="0"/>
              <w:tblLayout w:type="fixed"/>
              <w:tblLook w:firstColumn="1" w:firstRow="1" w:lastColumn="0" w:lastRow="0" w:noHBand="0" w:noVBand="1" w:val="04A0"/>
              <w:tblInd w:w="0.0" w:type="dxa"/>
            </w:tblPr>
            <w:tblGrid>
              <w:gridCol w:w="3072"/>
            </w:tblGrid>
            <w:tr>
              <w:trPr>
                <w:trHeight w:hRule="exact" w:val="796"/>
              </w:trPr>
              <w:tc>
                <w:tcPr>
                  <w:tcW w:type="dxa" w:w="3072"/>
                  <w:tcBorders/>
                  <w:shd w:fill="037ac1"/>
                  <w:tcMar>
                    <w:start w:w="0" w:type="dxa"/>
                    <w:end w:w="0" w:type="dxa"/>
                  </w:tcMar>
                </w:tcPr>
                <w:p>
                  <w:pPr>
                    <w:autoSpaceDN w:val="0"/>
                    <w:autoSpaceDE w:val="0"/>
                    <w:widowControl/>
                    <w:spacing w:line="318" w:lineRule="exact" w:before="498" w:after="0"/>
                    <w:ind w:left="596" w:right="0" w:firstLine="0"/>
                    <w:jc w:val="left"/>
                  </w:pPr>
                  <w:r>
                    <w:rPr>
                      <w:w w:val="101.79999669392903"/>
                      <w:rFonts w:ascii="SourceSans3" w:hAnsi="SourceSans3" w:eastAsia="SourceSans3"/>
                      <w:b/>
                      <w:i w:val="0"/>
                      <w:color w:val="FCFFFF"/>
                      <w:sz w:val="24"/>
                    </w:rPr>
                    <w:t xml:space="preserve">GEOGRAPHICAL </w:t>
                  </w:r>
                </w:p>
              </w:tc>
            </w:tr>
          </w:tbl>
          <w:p>
            <w:pPr>
              <w:autoSpaceDN w:val="0"/>
              <w:autoSpaceDE w:val="0"/>
              <w:widowControl/>
              <w:spacing w:line="14" w:lineRule="exact" w:before="0" w:after="0"/>
              <w:ind w:left="0" w:right="0"/>
            </w:pPr>
          </w:p>
        </w:tc>
        <w:tc>
          <w:tcPr>
            <w:tcW w:type="dxa" w:w="4294"/>
            <w:vMerge w:val="restart"/>
            <w:tcBorders/>
            <w:shd w:fill="ffffff"/>
            <w:tcMar>
              <w:start w:w="0" w:type="dxa"/>
              <w:end w:w="0" w:type="dxa"/>
            </w:tcMar>
            <w:tcMar>
              <w:start w:w="0" w:type="dxa"/>
              <w:end w:w="0" w:type="dxa"/>
            </w:tcMar>
            <w:tcMar>
              <w:start w:w="0" w:type="dxa"/>
              <w:end w:w="0" w:type="dxa"/>
            </w:tcMar>
          </w:tcPr>
          <w:p>
            <w:pPr>
              <w:autoSpaceDN w:val="0"/>
              <w:autoSpaceDE w:val="0"/>
              <w:widowControl/>
              <w:spacing w:line="612" w:lineRule="exact" w:before="0" w:after="0"/>
              <w:ind w:left="454" w:right="0" w:firstLine="0"/>
              <w:jc w:val="left"/>
            </w:pPr>
            <w:r>
              <w:rPr>
                <w:w w:val="98.21999867757162"/>
                <w:rFonts w:ascii="SourceSans3" w:hAnsi="SourceSans3" w:eastAsia="SourceSans3"/>
                <w:b w:val="0"/>
                <w:i w:val="0"/>
                <w:color w:val="2B2B2B"/>
                <w:sz w:val="24"/>
              </w:rPr>
              <w:t xml:space="preserve">Nominal growth rate of gross </w:t>
            </w:r>
            <w:r>
              <w:rPr>
                <w:rFonts w:ascii="SourceSans3" w:hAnsi="SourceSans3" w:eastAsia="SourceSans3"/>
                <w:b/>
                <w:i w:val="0"/>
                <w:color w:val="037BC1"/>
                <w:sz w:val="91"/>
              </w:rPr>
              <w:t>7.4%</w:t>
            </w:r>
          </w:p>
        </w:tc>
      </w:tr>
      <w:tr>
        <w:trPr>
          <w:trHeight w:hRule="exact" w:val="300"/>
        </w:trPr>
        <w:tc>
          <w:tcPr>
            <w:tcW w:type="dxa" w:w="4512"/>
            <w:gridSpan w:val="2"/>
            <w:vMerge/>
            <w:tcBorders/>
          </w:tcPr>
          <w:p/>
        </w:tc>
        <w:tc>
          <w:tcPr>
            <w:tcW w:type="dxa" w:w="3072"/>
            <w:tcBorders/>
            <w:shd w:fill="ffffff"/>
            <w:tcMar>
              <w:start w:w="0" w:type="dxa"/>
              <w:end w:w="0" w:type="dxa"/>
            </w:tcMar>
          </w:tcPr>
          <w:p>
            <w:pPr>
              <w:autoSpaceDN w:val="0"/>
              <w:autoSpaceDE w:val="0"/>
              <w:widowControl/>
              <w:spacing w:line="320" w:lineRule="exact" w:before="0" w:after="0"/>
              <w:ind w:left="596" w:right="0" w:firstLine="0"/>
              <w:jc w:val="left"/>
            </w:pPr>
            <w:r>
              <w:rPr>
                <w:w w:val="101.79999669392903"/>
                <w:rFonts w:ascii="SourceSans3" w:hAnsi="SourceSans3" w:eastAsia="SourceSans3"/>
                <w:b/>
                <w:i w:val="0"/>
                <w:color w:val="FCFFFF"/>
                <w:sz w:val="24"/>
              </w:rPr>
              <w:t>COVERAGE</w:t>
            </w:r>
          </w:p>
        </w:tc>
        <w:tc>
          <w:tcPr>
            <w:tcW w:type="dxa" w:w="2256"/>
            <w:vMerge/>
            <w:tcBorders/>
          </w:tcPr>
          <w:p/>
        </w:tc>
      </w:tr>
      <w:tr>
        <w:trPr>
          <w:trHeight w:hRule="exact" w:val="136"/>
        </w:trPr>
        <w:tc>
          <w:tcPr>
            <w:tcW w:type="dxa" w:w="3594"/>
            <w:gridSpan w:val="2"/>
            <w:vMerge w:val="restart"/>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22" w:lineRule="exact" w:before="0" w:after="0"/>
              <w:ind w:left="646" w:right="0" w:firstLine="0"/>
              <w:jc w:val="left"/>
            </w:pPr>
            <w:r>
              <w:rPr>
                <w:w w:val="101.79999669392903"/>
                <w:rFonts w:ascii="TimesNewRomanPSMT" w:hAnsi="TimesNewRomanPSMT" w:eastAsia="TimesNewRomanPSMT"/>
                <w:b w:val="0"/>
                <w:i w:val="0"/>
                <w:color w:val="FFFFFF"/>
                <w:sz w:val="24"/>
              </w:rPr>
              <w:t>•</w:t>
            </w:r>
            <w:r>
              <w:rPr>
                <w:w w:val="101.79999669392903"/>
                <w:rFonts w:ascii="SourceSans3" w:hAnsi="SourceSans3" w:eastAsia="SourceSans3"/>
                <w:b w:val="0"/>
                <w:i w:val="0"/>
                <w:color w:val="FFFFFF"/>
                <w:sz w:val="24"/>
              </w:rPr>
              <w:t xml:space="preserve"> Growth rates of </w:t>
            </w:r>
          </w:p>
        </w:tc>
        <w:tc>
          <w:tcPr>
            <w:tcW w:type="dxa" w:w="3072"/>
            <w:vMerge w:val="restart"/>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22" w:lineRule="exact" w:before="266" w:after="0"/>
              <w:ind w:left="596" w:right="0" w:firstLine="0"/>
              <w:jc w:val="left"/>
            </w:pPr>
            <w:r>
              <w:rPr>
                <w:w w:val="101.79999669392903"/>
                <w:rFonts w:ascii="TimesNewRomanPSMT" w:hAnsi="TimesNewRomanPSMT" w:eastAsia="TimesNewRomanPSMT"/>
                <w:b w:val="0"/>
                <w:i w:val="0"/>
                <w:color w:val="FCFFFF"/>
                <w:sz w:val="24"/>
              </w:rPr>
              <w:t>•</w:t>
            </w:r>
            <w:r>
              <w:rPr>
                <w:w w:val="101.79999669392903"/>
                <w:rFonts w:ascii="SourceSans3" w:hAnsi="SourceSans3" w:eastAsia="SourceSans3"/>
                <w:b w:val="0"/>
                <w:i w:val="0"/>
                <w:color w:val="FCFFFF"/>
                <w:sz w:val="24"/>
              </w:rPr>
              <w:t xml:space="preserve"> 33 OECD </w:t>
            </w:r>
          </w:p>
        </w:tc>
        <w:tc>
          <w:tcPr>
            <w:tcW w:type="dxa" w:w="2256"/>
            <w:vMerge/>
            <w:tcBorders/>
          </w:tcPr>
          <w:p/>
        </w:tc>
      </w:tr>
      <w:tr>
        <w:trPr>
          <w:trHeight w:hRule="exact" w:val="164"/>
        </w:trPr>
        <w:tc>
          <w:tcPr>
            <w:tcW w:type="dxa" w:w="4512"/>
            <w:gridSpan w:val="2"/>
            <w:vMerge/>
            <w:tcBorders/>
          </w:tcPr>
          <w:p/>
        </w:tc>
        <w:tc>
          <w:tcPr>
            <w:tcW w:type="dxa" w:w="2256"/>
            <w:vMerge/>
            <w:tcBorders/>
          </w:tcPr>
          <w:p/>
        </w:tc>
        <w:tc>
          <w:tcPr>
            <w:tcW w:type="dxa" w:w="4294"/>
            <w:vMerge w:val="restart"/>
            <w:tcBorders/>
            <w:shd w:fill="ffffff"/>
            <w:tcMar>
              <w:start w:w="0" w:type="dxa"/>
              <w:end w:w="0" w:type="dxa"/>
            </w:tcMar>
            <w:tcMar>
              <w:start w:w="0" w:type="dxa"/>
              <w:end w:w="0" w:type="dxa"/>
            </w:tcMar>
          </w:tcPr>
          <w:p>
            <w:pPr>
              <w:autoSpaceDN w:val="0"/>
              <w:autoSpaceDE w:val="0"/>
              <w:widowControl/>
              <w:spacing w:line="296" w:lineRule="exact" w:before="0" w:after="0"/>
              <w:ind w:left="454" w:right="0" w:firstLine="0"/>
              <w:jc w:val="left"/>
            </w:pPr>
            <w:r>
              <w:rPr>
                <w:w w:val="98.21999867757162"/>
                <w:rFonts w:ascii="SourceSans3" w:hAnsi="SourceSans3" w:eastAsia="SourceSans3"/>
                <w:b w:val="0"/>
                <w:i w:val="0"/>
                <w:color w:val="2B2B2B"/>
                <w:sz w:val="24"/>
              </w:rPr>
              <w:t xml:space="preserve">premiums written in the non-life </w:t>
            </w:r>
          </w:p>
        </w:tc>
      </w:tr>
      <w:tr>
        <w:trPr>
          <w:trHeight w:hRule="exact" w:val="118"/>
        </w:trPr>
        <w:tc>
          <w:tcPr>
            <w:tcW w:type="dxa" w:w="3594"/>
            <w:gridSpan w:val="2"/>
            <w:vMerge w:val="restart"/>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6" w:lineRule="exact" w:before="0" w:after="0"/>
              <w:ind w:left="852" w:right="0" w:firstLine="0"/>
              <w:jc w:val="left"/>
            </w:pPr>
            <w:r>
              <w:rPr>
                <w:w w:val="101.79999669392903"/>
                <w:rFonts w:ascii="SourceSans3" w:hAnsi="SourceSans3" w:eastAsia="SourceSans3"/>
                <w:b w:val="0"/>
                <w:i w:val="0"/>
                <w:color w:val="FFFFFF"/>
                <w:sz w:val="24"/>
              </w:rPr>
              <w:t xml:space="preserve">premiums </w:t>
            </w:r>
          </w:p>
        </w:tc>
        <w:tc>
          <w:tcPr>
            <w:tcW w:type="dxa" w:w="2256"/>
            <w:vMerge/>
            <w:tcBorders/>
          </w:tcPr>
          <w:p/>
        </w:tc>
        <w:tc>
          <w:tcPr>
            <w:tcW w:type="dxa" w:w="2256"/>
            <w:vMerge/>
            <w:tcBorders/>
          </w:tcPr>
          <w:p/>
        </w:tc>
      </w:tr>
      <w:tr>
        <w:trPr>
          <w:trHeight w:hRule="exact" w:val="170"/>
        </w:trPr>
        <w:tc>
          <w:tcPr>
            <w:tcW w:type="dxa" w:w="4512"/>
            <w:gridSpan w:val="2"/>
            <w:vMerge/>
            <w:tcBorders/>
          </w:tcPr>
          <w:p/>
        </w:tc>
        <w:tc>
          <w:tcPr>
            <w:tcW w:type="dxa" w:w="2256"/>
            <w:vMerge/>
            <w:tcBorders/>
          </w:tcPr>
          <w:p/>
        </w:tc>
        <w:tc>
          <w:tcPr>
            <w:tcW w:type="dxa" w:w="4294"/>
            <w:vMerge w:val="restart"/>
            <w:tcBorders/>
            <w:shd w:fill="ffffff"/>
            <w:tcMar>
              <w:start w:w="0" w:type="dxa"/>
              <w:end w:w="0" w:type="dxa"/>
            </w:tcMar>
            <w:tcMar>
              <w:start w:w="0" w:type="dxa"/>
              <w:end w:w="0" w:type="dxa"/>
            </w:tcMar>
          </w:tcPr>
          <w:p>
            <w:pPr>
              <w:autoSpaceDN w:val="0"/>
              <w:autoSpaceDE w:val="0"/>
              <w:widowControl/>
              <w:spacing w:line="296" w:lineRule="exact" w:before="0" w:after="0"/>
              <w:ind w:left="454" w:right="0" w:firstLine="0"/>
              <w:jc w:val="left"/>
            </w:pPr>
            <w:r>
              <w:rPr>
                <w:w w:val="98.21999867757162"/>
                <w:rFonts w:ascii="SourceSans3" w:hAnsi="SourceSans3" w:eastAsia="SourceSans3"/>
                <w:b w:val="0"/>
                <w:i w:val="0"/>
                <w:color w:val="2B2B2B"/>
                <w:sz w:val="24"/>
              </w:rPr>
              <w:t>insurance sector in 2024</w:t>
            </w:r>
          </w:p>
        </w:tc>
      </w:tr>
      <w:tr>
        <w:trPr>
          <w:trHeight w:hRule="exact" w:val="292"/>
        </w:trPr>
        <w:tc>
          <w:tcPr>
            <w:tcW w:type="dxa" w:w="3594"/>
            <w:gridSpan w:val="2"/>
            <w:tcBorders/>
            <w:shd w:fill="ffffff"/>
            <w:tcMar>
              <w:start w:w="0" w:type="dxa"/>
              <w:end w:w="0" w:type="dxa"/>
            </w:tcMar>
            <w:tcMar>
              <w:start w:w="0" w:type="dxa"/>
              <w:end w:w="0" w:type="dxa"/>
            </w:tcMar>
          </w:tcPr>
          <w:p>
            <w:pPr>
              <w:autoSpaceDN w:val="0"/>
              <w:autoSpaceDE w:val="0"/>
              <w:widowControl/>
              <w:spacing w:line="322" w:lineRule="exact" w:before="0" w:after="0"/>
              <w:ind w:left="646" w:right="0" w:firstLine="0"/>
              <w:jc w:val="left"/>
            </w:pPr>
            <w:r>
              <w:rPr>
                <w:w w:val="101.79999669392903"/>
                <w:rFonts w:ascii="TimesNewRomanPSMT" w:hAnsi="TimesNewRomanPSMT" w:eastAsia="TimesNewRomanPSMT"/>
                <w:b w:val="0"/>
                <w:i w:val="0"/>
                <w:color w:val="FFFFFF"/>
                <w:sz w:val="24"/>
              </w:rPr>
              <w:t>•</w:t>
            </w:r>
            <w:r>
              <w:rPr>
                <w:w w:val="101.79999669392903"/>
                <w:rFonts w:ascii="SourceSans3" w:hAnsi="SourceSans3" w:eastAsia="SourceSans3"/>
                <w:b w:val="0"/>
                <w:i w:val="0"/>
                <w:color w:val="FFFFFF"/>
                <w:sz w:val="24"/>
              </w:rPr>
              <w:t xml:space="preserve"> Growth rates of </w:t>
            </w:r>
          </w:p>
        </w:tc>
        <w:tc>
          <w:tcPr>
            <w:tcW w:type="dxa" w:w="3072"/>
            <w:tcBorders/>
            <w:shd w:fill="ffffff"/>
            <w:tcMar>
              <w:start w:w="0" w:type="dxa"/>
              <w:end w:w="0" w:type="dxa"/>
            </w:tcMar>
          </w:tcPr>
          <w:p>
            <w:pPr>
              <w:autoSpaceDN w:val="0"/>
              <w:autoSpaceDE w:val="0"/>
              <w:widowControl/>
              <w:spacing w:line="306" w:lineRule="exact" w:before="0" w:after="0"/>
              <w:ind w:left="0" w:right="1312" w:firstLine="0"/>
              <w:jc w:val="right"/>
            </w:pPr>
            <w:r>
              <w:rPr>
                <w:w w:val="101.79999669392903"/>
                <w:rFonts w:ascii="SourceSans3" w:hAnsi="SourceSans3" w:eastAsia="SourceSans3"/>
                <w:b w:val="0"/>
                <w:i w:val="0"/>
                <w:color w:val="FCFFFF"/>
                <w:sz w:val="24"/>
              </w:rPr>
              <w:t>countries</w:t>
            </w:r>
          </w:p>
        </w:tc>
        <w:tc>
          <w:tcPr>
            <w:tcW w:type="dxa" w:w="2256"/>
            <w:vMerge/>
            <w:tcBorders/>
          </w:tcPr>
          <w:p/>
        </w:tc>
      </w:tr>
      <w:tr>
        <w:trPr>
          <w:trHeight w:hRule="exact" w:val="299"/>
        </w:trPr>
        <w:tc>
          <w:tcPr>
            <w:tcW w:type="dxa" w:w="3594"/>
            <w:gridSpan w:val="2"/>
            <w:tcBorders/>
            <w:shd w:fill="ffffff"/>
            <w:tcMar>
              <w:start w:w="0" w:type="dxa"/>
              <w:end w:w="0" w:type="dxa"/>
            </w:tcMar>
            <w:tcMar>
              <w:start w:w="0" w:type="dxa"/>
              <w:end w:w="0" w:type="dxa"/>
            </w:tcMar>
          </w:tcPr>
          <w:p>
            <w:pPr>
              <w:autoSpaceDN w:val="0"/>
              <w:autoSpaceDE w:val="0"/>
              <w:widowControl/>
              <w:spacing w:line="306" w:lineRule="exact" w:before="0" w:after="0"/>
              <w:ind w:left="852" w:right="0" w:firstLine="0"/>
              <w:jc w:val="left"/>
            </w:pPr>
            <w:r>
              <w:rPr>
                <w:w w:val="101.79999669392903"/>
                <w:rFonts w:ascii="SourceSans3" w:hAnsi="SourceSans3" w:eastAsia="SourceSans3"/>
                <w:b w:val="0"/>
                <w:i w:val="0"/>
                <w:color w:val="FFFFFF"/>
                <w:sz w:val="24"/>
              </w:rPr>
              <w:t xml:space="preserve">claims </w:t>
            </w:r>
          </w:p>
        </w:tc>
        <w:tc>
          <w:tcPr>
            <w:tcW w:type="dxa" w:w="3072"/>
            <w:tcBorders/>
            <w:shd w:fill="ffffff"/>
            <w:tcMar>
              <w:start w:w="0" w:type="dxa"/>
              <w:end w:w="0" w:type="dxa"/>
            </w:tcMar>
          </w:tcPr>
          <w:p>
            <w:pPr>
              <w:autoSpaceDN w:val="0"/>
              <w:autoSpaceDE w:val="0"/>
              <w:widowControl/>
              <w:spacing w:line="322" w:lineRule="exact" w:before="0" w:after="0"/>
              <w:ind w:left="596" w:right="0" w:firstLine="0"/>
              <w:jc w:val="left"/>
            </w:pPr>
            <w:r>
              <w:rPr>
                <w:w w:val="101.79999669392903"/>
                <w:rFonts w:ascii="TimesNewRomanPSMT" w:hAnsi="TimesNewRomanPSMT" w:eastAsia="TimesNewRomanPSMT"/>
                <w:b w:val="0"/>
                <w:i w:val="0"/>
                <w:color w:val="FCFFFF"/>
                <w:sz w:val="24"/>
              </w:rPr>
              <w:t>•</w:t>
            </w:r>
            <w:r>
              <w:rPr>
                <w:w w:val="101.79999669392903"/>
                <w:rFonts w:ascii="SourceSans3" w:hAnsi="SourceSans3" w:eastAsia="SourceSans3"/>
                <w:b w:val="0"/>
                <w:i w:val="0"/>
                <w:color w:val="FCFFFF"/>
                <w:sz w:val="24"/>
              </w:rPr>
              <w:t xml:space="preserve"> 14 other </w:t>
            </w:r>
          </w:p>
        </w:tc>
        <w:tc>
          <w:tcPr>
            <w:tcW w:type="dxa" w:w="4294"/>
            <w:vMerge w:val="restart"/>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tabs>
                <w:tab w:pos="872" w:val="left"/>
              </w:tabs>
              <w:autoSpaceDE w:val="0"/>
              <w:widowControl/>
              <w:spacing w:line="168" w:lineRule="exact" w:before="1042" w:after="0"/>
              <w:ind w:left="454" w:right="864" w:firstLine="0"/>
              <w:jc w:val="left"/>
            </w:pPr>
            <w:r>
              <w:rPr>
                <w:rFonts w:ascii="SourceSans3" w:hAnsi="SourceSans3" w:eastAsia="SourceSans3"/>
                <w:b/>
                <w:i w:val="0"/>
                <w:color w:val="037BC1"/>
                <w:sz w:val="91"/>
              </w:rPr>
              <w:t xml:space="preserve">11% </w:t>
            </w:r>
            <w:r>
              <w:br/>
            </w:r>
            <w:r>
              <w:rPr>
                <w:w w:val="98.21999867757162"/>
                <w:rFonts w:ascii="SourceSans3" w:hAnsi="SourceSans3" w:eastAsia="SourceSans3"/>
                <w:b w:val="0"/>
                <w:i w:val="0"/>
                <w:color w:val="2B2B2B"/>
                <w:sz w:val="24"/>
              </w:rPr>
              <w:t xml:space="preserve">Nominal growth rate of gross </w:t>
            </w:r>
          </w:p>
        </w:tc>
      </w:tr>
      <w:tr>
        <w:trPr>
          <w:trHeight w:hRule="exact" w:val="289"/>
        </w:trPr>
        <w:tc>
          <w:tcPr>
            <w:tcW w:type="dxa" w:w="3594"/>
            <w:gridSpan w:val="2"/>
            <w:tcBorders/>
            <w:shd w:fill="ffffff"/>
            <w:tcMar>
              <w:start w:w="0" w:type="dxa"/>
              <w:end w:w="0" w:type="dxa"/>
            </w:tcMar>
            <w:tcMar>
              <w:start w:w="0" w:type="dxa"/>
              <w:end w:w="0" w:type="dxa"/>
            </w:tcMar>
          </w:tcPr>
          <w:p>
            <w:pPr>
              <w:autoSpaceDN w:val="0"/>
              <w:autoSpaceDE w:val="0"/>
              <w:widowControl/>
              <w:spacing w:line="306" w:lineRule="exact" w:before="0" w:after="0"/>
              <w:ind w:left="852" w:right="0" w:firstLine="0"/>
              <w:jc w:val="left"/>
            </w:pPr>
            <w:r>
              <w:rPr>
                <w:w w:val="101.79999669392903"/>
                <w:rFonts w:ascii="SourceSans3" w:hAnsi="SourceSans3" w:eastAsia="SourceSans3"/>
                <w:b w:val="0"/>
                <w:i w:val="0"/>
                <w:color w:val="FFFFFF"/>
                <w:sz w:val="24"/>
              </w:rPr>
              <w:t>payments</w:t>
            </w:r>
          </w:p>
        </w:tc>
        <w:tc>
          <w:tcPr>
            <w:tcW w:type="dxa" w:w="3072"/>
            <w:tcBorders/>
            <w:shd w:fill="ffffff"/>
            <w:tcMar>
              <w:start w:w="0" w:type="dxa"/>
              <w:end w:w="0" w:type="dxa"/>
            </w:tcMar>
          </w:tcPr>
          <w:p>
            <w:pPr>
              <w:autoSpaceDN w:val="0"/>
              <w:autoSpaceDE w:val="0"/>
              <w:widowControl/>
              <w:spacing w:line="306" w:lineRule="exact" w:before="0" w:after="0"/>
              <w:ind w:left="0" w:right="722" w:firstLine="0"/>
              <w:jc w:val="right"/>
            </w:pPr>
            <w:r>
              <w:rPr>
                <w:w w:val="101.79999669392903"/>
                <w:rFonts w:ascii="SourceSans3" w:hAnsi="SourceSans3" w:eastAsia="SourceSans3"/>
                <w:b w:val="0"/>
                <w:i w:val="0"/>
                <w:color w:val="FCFFFF"/>
                <w:sz w:val="24"/>
              </w:rPr>
              <w:t xml:space="preserve">jurisdictions in </w:t>
            </w:r>
          </w:p>
        </w:tc>
        <w:tc>
          <w:tcPr>
            <w:tcW w:type="dxa" w:w="2256"/>
            <w:vMerge/>
            <w:tcBorders/>
          </w:tcPr>
          <w:p/>
        </w:tc>
      </w:tr>
      <w:tr>
        <w:trPr>
          <w:trHeight w:hRule="exact" w:val="299"/>
        </w:trPr>
        <w:tc>
          <w:tcPr>
            <w:tcW w:type="dxa" w:w="3594"/>
            <w:gridSpan w:val="2"/>
            <w:tcBorders/>
            <w:shd w:fill="ffffff"/>
            <w:tcMar>
              <w:start w:w="0" w:type="dxa"/>
              <w:end w:w="0" w:type="dxa"/>
            </w:tcMar>
            <w:tcMar>
              <w:start w:w="0" w:type="dxa"/>
              <w:end w:w="0" w:type="dxa"/>
            </w:tcMar>
          </w:tcPr>
          <w:p>
            <w:pPr>
              <w:autoSpaceDN w:val="0"/>
              <w:autoSpaceDE w:val="0"/>
              <w:widowControl/>
              <w:spacing w:line="322" w:lineRule="exact" w:before="0" w:after="0"/>
              <w:ind w:left="646" w:right="0" w:firstLine="0"/>
              <w:jc w:val="left"/>
            </w:pPr>
            <w:r>
              <w:rPr>
                <w:w w:val="101.79999669392903"/>
                <w:rFonts w:ascii="TimesNewRomanPSMT" w:hAnsi="TimesNewRomanPSMT" w:eastAsia="TimesNewRomanPSMT"/>
                <w:b w:val="0"/>
                <w:i w:val="0"/>
                <w:color w:val="FFFFFF"/>
                <w:sz w:val="24"/>
              </w:rPr>
              <w:t>•</w:t>
            </w:r>
            <w:r>
              <w:rPr>
                <w:w w:val="101.79999669392903"/>
                <w:rFonts w:ascii="SourceSans3" w:hAnsi="SourceSans3" w:eastAsia="SourceSans3"/>
                <w:b w:val="0"/>
                <w:i w:val="0"/>
                <w:color w:val="FFFFFF"/>
                <w:sz w:val="24"/>
              </w:rPr>
              <w:t xml:space="preserve"> Investment </w:t>
            </w:r>
          </w:p>
        </w:tc>
        <w:tc>
          <w:tcPr>
            <w:tcW w:type="dxa" w:w="3072"/>
            <w:tcBorders/>
            <w:shd w:fill="ffffff"/>
            <w:tcMar>
              <w:start w:w="0" w:type="dxa"/>
              <w:end w:w="0" w:type="dxa"/>
            </w:tcMar>
          </w:tcPr>
          <w:p>
            <w:pPr>
              <w:autoSpaceDN w:val="0"/>
              <w:autoSpaceDE w:val="0"/>
              <w:widowControl/>
              <w:spacing w:line="308" w:lineRule="exact" w:before="0" w:after="0"/>
              <w:ind w:left="0" w:right="954" w:firstLine="0"/>
              <w:jc w:val="right"/>
            </w:pPr>
            <w:r>
              <w:rPr>
                <w:w w:val="101.79999669392903"/>
                <w:rFonts w:ascii="SourceSans3" w:hAnsi="SourceSans3" w:eastAsia="SourceSans3"/>
                <w:b w:val="0"/>
                <w:i w:val="0"/>
                <w:color w:val="FCFFFF"/>
                <w:sz w:val="24"/>
              </w:rPr>
              <w:t xml:space="preserve">Asia, Europe </w:t>
            </w:r>
          </w:p>
        </w:tc>
        <w:tc>
          <w:tcPr>
            <w:tcW w:type="dxa" w:w="2256"/>
            <w:vMerge/>
            <w:tcBorders/>
          </w:tcPr>
          <w:p/>
        </w:tc>
      </w:tr>
      <w:tr>
        <w:trPr>
          <w:trHeight w:hRule="exact" w:val="282"/>
        </w:trPr>
        <w:tc>
          <w:tcPr>
            <w:tcW w:type="dxa" w:w="3594"/>
            <w:gridSpan w:val="2"/>
            <w:tcBorders/>
            <w:shd w:fill="ffffff"/>
            <w:tcMar>
              <w:start w:w="0" w:type="dxa"/>
              <w:end w:w="0" w:type="dxa"/>
            </w:tcMar>
            <w:tcMar>
              <w:start w:w="0" w:type="dxa"/>
              <w:end w:w="0" w:type="dxa"/>
            </w:tcMar>
          </w:tcPr>
          <w:p>
            <w:pPr>
              <w:autoSpaceDN w:val="0"/>
              <w:autoSpaceDE w:val="0"/>
              <w:widowControl/>
              <w:spacing w:line="306" w:lineRule="exact" w:before="0" w:after="0"/>
              <w:ind w:left="852" w:right="0" w:firstLine="0"/>
              <w:jc w:val="left"/>
            </w:pPr>
            <w:r>
              <w:rPr>
                <w:w w:val="101.79999669392903"/>
                <w:rFonts w:ascii="SourceSans3" w:hAnsi="SourceSans3" w:eastAsia="SourceSans3"/>
                <w:b w:val="0"/>
                <w:i w:val="0"/>
                <w:color w:val="FFFFFF"/>
                <w:sz w:val="24"/>
              </w:rPr>
              <w:t>performance</w:t>
            </w:r>
          </w:p>
        </w:tc>
        <w:tc>
          <w:tcPr>
            <w:tcW w:type="dxa" w:w="3072"/>
            <w:tcBorders/>
            <w:shd w:fill="ffffff"/>
            <w:tcMar>
              <w:start w:w="0" w:type="dxa"/>
              <w:end w:w="0" w:type="dxa"/>
            </w:tcMar>
          </w:tcPr>
          <w:p>
            <w:pPr>
              <w:autoSpaceDN w:val="0"/>
              <w:autoSpaceDE w:val="0"/>
              <w:widowControl/>
              <w:spacing w:line="306" w:lineRule="exact" w:before="0" w:after="0"/>
              <w:ind w:left="0" w:right="1264" w:firstLine="0"/>
              <w:jc w:val="right"/>
            </w:pPr>
            <w:r>
              <w:rPr>
                <w:w w:val="101.79999669392903"/>
                <w:rFonts w:ascii="SourceSans3" w:hAnsi="SourceSans3" w:eastAsia="SourceSans3"/>
                <w:b w:val="0"/>
                <w:i w:val="0"/>
                <w:color w:val="FCFFFF"/>
                <w:sz w:val="24"/>
              </w:rPr>
              <w:t xml:space="preserve">and Latin </w:t>
            </w:r>
          </w:p>
        </w:tc>
        <w:tc>
          <w:tcPr>
            <w:tcW w:type="dxa" w:w="2256"/>
            <w:vMerge/>
            <w:tcBorders/>
          </w:tcPr>
          <w:p/>
        </w:tc>
      </w:tr>
      <w:tr>
        <w:trPr>
          <w:trHeight w:hRule="exact" w:val="208"/>
        </w:trPr>
        <w:tc>
          <w:tcPr>
            <w:tcW w:type="dxa" w:w="3594"/>
            <w:gridSpan w:val="2"/>
            <w:vMerge w:val="restart"/>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22" w:lineRule="exact" w:before="0" w:after="0"/>
              <w:ind w:left="646" w:right="0" w:firstLine="0"/>
              <w:jc w:val="left"/>
            </w:pPr>
            <w:r>
              <w:rPr>
                <w:w w:val="101.79999669392903"/>
                <w:rFonts w:ascii="TimesNewRomanPSMT" w:hAnsi="TimesNewRomanPSMT" w:eastAsia="TimesNewRomanPSMT"/>
                <w:b w:val="0"/>
                <w:i w:val="0"/>
                <w:color w:val="FFFFFF"/>
                <w:sz w:val="24"/>
              </w:rPr>
              <w:t>•</w:t>
            </w:r>
            <w:r>
              <w:rPr>
                <w:w w:val="101.79999669392903"/>
                <w:rFonts w:ascii="SourceSans3" w:hAnsi="SourceSans3" w:eastAsia="SourceSans3"/>
                <w:b w:val="0"/>
                <w:i w:val="0"/>
                <w:color w:val="FFFFFF"/>
                <w:sz w:val="24"/>
              </w:rPr>
              <w:t xml:space="preserve"> Asset allocation </w:t>
            </w:r>
          </w:p>
        </w:tc>
        <w:tc>
          <w:tcPr>
            <w:tcW w:type="dxa" w:w="3072"/>
            <w:vMerge w:val="restart"/>
            <w:tcBorders/>
            <w:shd w:fill="ffffff"/>
            <w:tcMar>
              <w:start w:w="0" w:type="dxa"/>
              <w:end w:w="0" w:type="dxa"/>
            </w:tcMar>
            <w:tcMar>
              <w:start w:w="0" w:type="dxa"/>
              <w:end w:w="0" w:type="dxa"/>
            </w:tcMar>
          </w:tcPr>
          <w:p>
            <w:pPr>
              <w:autoSpaceDN w:val="0"/>
              <w:autoSpaceDE w:val="0"/>
              <w:widowControl/>
              <w:spacing w:line="306" w:lineRule="exact" w:before="0" w:after="0"/>
              <w:ind w:left="0" w:right="1386" w:firstLine="0"/>
              <w:jc w:val="right"/>
            </w:pPr>
            <w:r>
              <w:rPr>
                <w:w w:val="101.79999669392903"/>
                <w:rFonts w:ascii="SourceSans3" w:hAnsi="SourceSans3" w:eastAsia="SourceSans3"/>
                <w:b w:val="0"/>
                <w:i w:val="0"/>
                <w:color w:val="FCFFFF"/>
                <w:sz w:val="24"/>
              </w:rPr>
              <w:t xml:space="preserve">America </w:t>
            </w:r>
          </w:p>
        </w:tc>
        <w:tc>
          <w:tcPr>
            <w:tcW w:type="dxa" w:w="2256"/>
            <w:vMerge/>
            <w:tcBorders/>
          </w:tcPr>
          <w:p/>
        </w:tc>
      </w:tr>
      <w:tr>
        <w:trPr>
          <w:trHeight w:hRule="exact" w:val="282"/>
        </w:trPr>
        <w:tc>
          <w:tcPr>
            <w:tcW w:type="dxa" w:w="4512"/>
            <w:gridSpan w:val="2"/>
            <w:vMerge/>
            <w:tcBorders/>
          </w:tcPr>
          <w:p/>
        </w:tc>
        <w:tc>
          <w:tcPr>
            <w:tcW w:type="dxa" w:w="2256"/>
            <w:vMerge/>
            <w:tcBorders/>
          </w:tcPr>
          <w:p/>
        </w:tc>
        <w:tc>
          <w:tcPr>
            <w:tcW w:type="dxa" w:w="4294"/>
            <w:tcBorders/>
            <w:shd w:fill="ffffff"/>
            <w:tcMar>
              <w:start w:w="0" w:type="dxa"/>
              <w:end w:w="0" w:type="dxa"/>
            </w:tcMar>
          </w:tcPr>
          <w:p>
            <w:pPr>
              <w:autoSpaceDN w:val="0"/>
              <w:autoSpaceDE w:val="0"/>
              <w:widowControl/>
              <w:spacing w:line="296" w:lineRule="exact" w:before="0" w:after="0"/>
              <w:ind w:left="454" w:right="0" w:firstLine="0"/>
              <w:jc w:val="left"/>
            </w:pPr>
            <w:r>
              <w:rPr>
                <w:w w:val="98.21999867757162"/>
                <w:rFonts w:ascii="SourceSans3" w:hAnsi="SourceSans3" w:eastAsia="SourceSans3"/>
                <w:b w:val="0"/>
                <w:i w:val="0"/>
                <w:color w:val="2B2B2B"/>
                <w:sz w:val="24"/>
              </w:rPr>
              <w:t xml:space="preserve">premiums written in the life </w:t>
            </w:r>
          </w:p>
        </w:tc>
      </w:tr>
      <w:tr>
        <w:trPr>
          <w:trHeight w:hRule="exact" w:val="350"/>
        </w:trPr>
        <w:tc>
          <w:tcPr>
            <w:tcW w:type="dxa" w:w="10960"/>
            <w:gridSpan w:val="4"/>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94" w:lineRule="exact" w:before="0" w:after="0"/>
              <w:ind w:left="0" w:right="1480" w:firstLine="0"/>
              <w:jc w:val="right"/>
            </w:pPr>
            <w:r>
              <w:rPr>
                <w:w w:val="98.21999867757162"/>
                <w:rFonts w:ascii="SourceSans3" w:hAnsi="SourceSans3" w:eastAsia="SourceSans3"/>
                <w:b w:val="0"/>
                <w:i w:val="0"/>
                <w:color w:val="2B2B2B"/>
                <w:sz w:val="24"/>
              </w:rPr>
              <w:t>insurance sector in 2024</w:t>
            </w:r>
          </w:p>
        </w:tc>
      </w:tr>
    </w:tbl>
    <w:p>
      <w:pPr>
        <w:autoSpaceDN w:val="0"/>
        <w:autoSpaceDE w:val="0"/>
        <w:widowControl/>
        <w:spacing w:line="380" w:lineRule="exact" w:before="0" w:after="0"/>
        <w:ind w:left="0" w:right="0"/>
      </w:pPr>
    </w:p>
    <w:tbl>
      <w:tblPr>
        <w:tblW w:type="auto" w:w="0"/>
        <w:tblLayout w:type="fixed"/>
        <w:tblLook w:firstColumn="1" w:firstRow="1" w:lastColumn="0" w:lastRow="0" w:noHBand="0" w:noVBand="1" w:val="04A0"/>
        <w:tblInd w:w="542.0" w:type="dxa"/>
      </w:tblPr>
      <w:tblGrid>
        <w:gridCol w:w="9026"/>
      </w:tblGrid>
      <w:tr>
        <w:trPr>
          <w:trHeight w:hRule="exact" w:val="2190"/>
        </w:trPr>
        <w:tc>
          <w:tcPr>
            <w:tcW w:type="dxa" w:w="10822"/>
            <w:tcBorders/>
            <w:shd w:fill="ffffff"/>
            <w:tcMar>
              <w:start w:w="0" w:type="dxa"/>
              <w:end w:w="0" w:type="dxa"/>
            </w:tcMar>
          </w:tcPr>
          <w:p>
            <w:pPr>
              <w:autoSpaceDN w:val="0"/>
              <w:autoSpaceDE w:val="0"/>
              <w:widowControl/>
              <w:spacing w:line="282" w:lineRule="exact" w:before="440" w:after="0"/>
              <w:ind w:left="638" w:right="432" w:firstLine="0"/>
              <w:jc w:val="left"/>
            </w:pPr>
            <w:r>
              <w:rPr>
                <w:w w:val="102.051303697669"/>
                <w:rFonts w:ascii="SourceSans3" w:hAnsi="SourceSans3" w:eastAsia="SourceSans3"/>
                <w:b w:val="0"/>
                <w:i w:val="0"/>
                <w:color w:val="FFFFFF"/>
                <w:sz w:val="23"/>
              </w:rPr>
              <w:t xml:space="preserve">This factsheet provides a short preview of trends in the insurance sector in 47 OECD and non-OECD </w:t>
            </w:r>
            <w:r>
              <w:rPr>
                <w:w w:val="102.051303697669"/>
                <w:rFonts w:ascii="SourceSans3" w:hAnsi="SourceSans3" w:eastAsia="SourceSans3"/>
                <w:b w:val="0"/>
                <w:i w:val="0"/>
                <w:color w:val="FFFFFF"/>
                <w:sz w:val="23"/>
              </w:rPr>
              <w:t xml:space="preserve">jurisdictions based on preliminary data and early estimates for 2024. An Excel file of the underlying </w:t>
            </w:r>
            <w:r>
              <w:rPr>
                <w:w w:val="102.051303697669"/>
                <w:rFonts w:ascii="SourceSans3" w:hAnsi="SourceSans3" w:eastAsia="SourceSans3"/>
                <w:b w:val="0"/>
                <w:i w:val="0"/>
                <w:color w:val="FFFFFF"/>
                <w:sz w:val="23"/>
              </w:rPr>
              <w:t xml:space="preserve">data is available at </w:t>
            </w:r>
            <w:r>
              <w:rPr>
                <w:w w:val="102.051303697669"/>
                <w:rFonts w:ascii="SourceSans3" w:hAnsi="SourceSans3" w:eastAsia="SourceSans3"/>
                <w:b w:val="0"/>
                <w:i w:val="0"/>
                <w:color w:val="FFFFFF"/>
                <w:sz w:val="23"/>
              </w:rPr>
              <w:hyperlink r:id="rId11" w:history="1">
                <w:r>
                  <w:rPr>
                    <w:rStyle w:val="Hyperlink"/>
                  </w:rPr>
                  <w:t>https://www.oecd.org/en/topics/sub-issues/insurance.html</w:t>
                </w:r>
              </w:hyperlink>
            </w:r>
            <w:r>
              <w:rPr>
                <w:w w:val="102.051303697669"/>
                <w:rFonts w:ascii="SourceSans3" w:hAnsi="SourceSans3" w:eastAsia="SourceSans3"/>
                <w:b w:val="0"/>
                <w:i w:val="0"/>
                <w:color w:val="FFFFFF"/>
                <w:sz w:val="23"/>
              </w:rPr>
              <w:t xml:space="preserve">. This factsheet was </w:t>
            </w:r>
            <w:r>
              <w:rPr>
                <w:w w:val="102.051303697669"/>
                <w:rFonts w:ascii="SourceSans3" w:hAnsi="SourceSans3" w:eastAsia="SourceSans3"/>
                <w:b w:val="0"/>
                <w:i w:val="0"/>
                <w:color w:val="FFFFFF"/>
                <w:sz w:val="23"/>
              </w:rPr>
              <w:t>made possible by c</w:t>
            </w:r>
            <w:r>
              <w:rPr>
                <w:w w:val="102.051303697669"/>
                <w:rFonts w:ascii="SourceSans3" w:hAnsi="SourceSans3" w:eastAsia="SourceSans3"/>
                <w:b w:val="0"/>
                <w:i w:val="0"/>
                <w:color w:val="FFFFFF"/>
                <w:sz w:val="23"/>
              </w:rPr>
              <w:hyperlink r:id="rId11" w:history="1">
                <w:r>
                  <w:rPr>
                    <w:rStyle w:val="Hyperlink"/>
                  </w:rPr>
                  <w:t>lose co-operation between the OECD, the Association of Lati</w:t>
                </w:r>
              </w:hyperlink>
            </w:r>
            <w:r>
              <w:rPr>
                <w:w w:val="102.051303697669"/>
                <w:rFonts w:ascii="SourceSans3" w:hAnsi="SourceSans3" w:eastAsia="SourceSans3"/>
                <w:b w:val="0"/>
                <w:i w:val="0"/>
                <w:color w:val="FFFFFF"/>
                <w:sz w:val="23"/>
              </w:rPr>
              <w:t xml:space="preserve">n American </w:t>
            </w:r>
            <w:r>
              <w:rPr>
                <w:w w:val="102.051303697669"/>
                <w:rFonts w:ascii="SourceSans3" w:hAnsi="SourceSans3" w:eastAsia="SourceSans3"/>
                <w:b w:val="0"/>
                <w:i w:val="0"/>
                <w:color w:val="FFFFFF"/>
                <w:sz w:val="23"/>
              </w:rPr>
              <w:t xml:space="preserve">Insurance Supervisors (ASSAL) and the various supervisors or other bodies that provided data and </w:t>
            </w:r>
            <w:r>
              <w:rPr>
                <w:w w:val="102.051303697669"/>
                <w:rFonts w:ascii="SourceSans3" w:hAnsi="SourceSans3" w:eastAsia="SourceSans3"/>
                <w:b w:val="0"/>
                <w:i w:val="0"/>
                <w:color w:val="FFFFFF"/>
                <w:sz w:val="23"/>
              </w:rPr>
              <w:t>comments.</w:t>
            </w:r>
          </w:p>
        </w:tc>
      </w:tr>
    </w:tbl>
    <w:p>
      <w:pPr>
        <w:autoSpaceDN w:val="0"/>
        <w:autoSpaceDE w:val="0"/>
        <w:widowControl/>
        <w:spacing w:line="150" w:lineRule="exact" w:before="0" w:after="0"/>
        <w:ind w:left="0" w:right="0"/>
      </w:pPr>
    </w:p>
    <w:tbl>
      <w:tblPr>
        <w:tblW w:type="auto" w:w="0"/>
        <w:tblLayout w:type="fixed"/>
        <w:tblLook w:firstColumn="1" w:firstRow="1" w:lastColumn="0" w:lastRow="0" w:noHBand="0" w:noVBand="1" w:val="04A0"/>
        <w:tblInd w:w="542.0" w:type="dxa"/>
      </w:tblPr>
      <w:tblGrid>
        <w:gridCol w:w="9026"/>
      </w:tblGrid>
      <w:tr>
        <w:trPr>
          <w:trHeight w:hRule="exact" w:val="1258"/>
        </w:trPr>
        <w:tc>
          <w:tcPr>
            <w:tcW w:type="dxa" w:w="10822"/>
            <w:tcBorders/>
            <w:shd w:fill="ffffff"/>
            <w:tcMar>
              <w:start w:w="0" w:type="dxa"/>
              <w:end w:w="0" w:type="dxa"/>
            </w:tcMar>
          </w:tcPr>
          <w:p>
            <w:pPr>
              <w:autoSpaceDN w:val="0"/>
              <w:autoSpaceDE w:val="0"/>
              <w:widowControl/>
              <w:spacing w:line="282" w:lineRule="exact" w:before="72" w:after="0"/>
              <w:ind w:left="638" w:right="1152" w:firstLine="0"/>
              <w:jc w:val="left"/>
            </w:pPr>
            <w:r>
              <w:rPr>
                <w:w w:val="102.051303697669"/>
                <w:rFonts w:ascii="SourceSans3" w:hAnsi="SourceSans3" w:eastAsia="SourceSans3"/>
                <w:b w:val="0"/>
                <w:i w:val="0"/>
                <w:color w:val="FFFFFF"/>
                <w:sz w:val="23"/>
              </w:rPr>
              <w:t xml:space="preserve">A more developed analysis based on the final data collected for 2024 will be published in the </w:t>
            </w:r>
            <w:r>
              <w:rPr>
                <w:w w:val="102.051303697669"/>
                <w:rFonts w:ascii="SourceSans3" w:hAnsi="SourceSans3" w:eastAsia="SourceSans3"/>
                <w:b w:val="0"/>
                <w:i w:val="0"/>
                <w:color w:val="FFFFFF"/>
                <w:sz w:val="23"/>
              </w:rPr>
              <w:t>forthcoming 2025 edition of the Global Insurance Market Trends.</w:t>
            </w:r>
          </w:p>
          <w:p>
            <w:pPr>
              <w:autoSpaceDN w:val="0"/>
              <w:autoSpaceDE w:val="0"/>
              <w:widowControl/>
              <w:spacing w:line="280" w:lineRule="exact" w:before="14" w:after="0"/>
              <w:ind w:left="638" w:right="864" w:firstLine="0"/>
              <w:jc w:val="left"/>
            </w:pPr>
            <w:r>
              <w:rPr>
                <w:w w:val="102.051303697669"/>
                <w:rFonts w:ascii="SourceSans3" w:hAnsi="SourceSans3" w:eastAsia="SourceSans3"/>
                <w:b w:val="0"/>
                <w:i w:val="0"/>
                <w:color w:val="FFFFFF"/>
                <w:sz w:val="23"/>
              </w:rPr>
              <w:t>For more information, please contact Sally Day-Hanotiaux (</w:t>
            </w:r>
            <w:r>
              <w:rPr>
                <w:w w:val="102.051303697669"/>
                <w:rFonts w:ascii="SourceSans3" w:hAnsi="SourceSans3" w:eastAsia="SourceSans3"/>
                <w:b w:val="0"/>
                <w:i w:val="0"/>
                <w:color w:val="FFFFFF"/>
                <w:sz w:val="23"/>
              </w:rPr>
              <w:hyperlink r:id="rId12" w:history="1">
                <w:r>
                  <w:rPr>
                    <w:rStyle w:val="Hyperlink"/>
                  </w:rPr>
                  <w:t>sally.day-hanotiaux@oecd.org</w:t>
                </w:r>
              </w:hyperlink>
            </w:r>
            <w:r>
              <w:rPr>
                <w:w w:val="102.051303697669"/>
                <w:rFonts w:ascii="SourceSans3" w:hAnsi="SourceSans3" w:eastAsia="SourceSans3"/>
                <w:b w:val="0"/>
                <w:i w:val="0"/>
                <w:color w:val="FFFFFF"/>
                <w:sz w:val="23"/>
              </w:rPr>
              <w:t xml:space="preserve">) and </w:t>
            </w:r>
            <w:r>
              <w:rPr>
                <w:w w:val="102.051303697669"/>
                <w:rFonts w:ascii="SourceSans3" w:hAnsi="SourceSans3" w:eastAsia="SourceSans3"/>
                <w:b w:val="0"/>
                <w:i w:val="0"/>
                <w:color w:val="FFFFFF"/>
                <w:sz w:val="23"/>
              </w:rPr>
              <w:t>Romain Despalins (</w:t>
            </w:r>
            <w:r>
              <w:rPr>
                <w:w w:val="102.051303697669"/>
                <w:rFonts w:ascii="SourceSans3" w:hAnsi="SourceSans3" w:eastAsia="SourceSans3"/>
                <w:b w:val="0"/>
                <w:i w:val="0"/>
                <w:color w:val="FFFFFF"/>
                <w:sz w:val="23"/>
              </w:rPr>
              <w:hyperlink r:id="rId13" w:history="1">
                <w:r>
                  <w:rPr>
                    <w:rStyle w:val="Hyperlink"/>
                  </w:rPr>
                  <w:t>romain.despalins@oecd.org</w:t>
                </w:r>
              </w:hyperlink>
            </w:r>
            <w:r>
              <w:rPr>
                <w:w w:val="102.051303697669"/>
                <w:rFonts w:ascii="SourceSans3" w:hAnsi="SourceSans3" w:eastAsia="SourceSans3"/>
                <w:b w:val="0"/>
                <w:i w:val="0"/>
                <w:color w:val="FFFFFF"/>
                <w:sz w:val="23"/>
              </w:rPr>
              <w:t>).</w:t>
            </w:r>
          </w:p>
        </w:tc>
      </w:tr>
    </w:tbl>
    <w:p>
      <w:pPr>
        <w:autoSpaceDN w:val="0"/>
        <w:autoSpaceDE w:val="0"/>
        <w:widowControl/>
        <w:spacing w:line="144" w:lineRule="exact" w:before="0" w:after="0"/>
        <w:ind w:left="0" w:right="0"/>
      </w:pPr>
    </w:p>
    <w:tbl>
      <w:tblPr>
        <w:tblW w:type="auto" w:w="0"/>
        <w:tblLayout w:type="fixed"/>
        <w:tblLook w:firstColumn="1" w:firstRow="1" w:lastColumn="0" w:lastRow="0" w:noHBand="0" w:noVBand="1" w:val="04A0"/>
        <w:tblInd w:w="1156.0" w:type="dxa"/>
      </w:tblPr>
      <w:tblGrid>
        <w:gridCol w:w="9026"/>
      </w:tblGrid>
      <w:tr>
        <w:trPr>
          <w:trHeight w:hRule="exact" w:val="654"/>
        </w:trPr>
        <w:tc>
          <w:tcPr>
            <w:tcW w:type="dxa" w:w="9594"/>
            <w:tcBorders>
              <w:bottom w:sz="19.200000762939453" w:val="single" w:color="#C9ECE7"/>
            </w:tcBorders>
            <w:shd w:fill="ffffff"/>
            <w:tcMar>
              <w:start w:w="0" w:type="dxa"/>
              <w:end w:w="0" w:type="dxa"/>
            </w:tcMar>
          </w:tcPr>
          <w:p>
            <w:pPr>
              <w:autoSpaceDN w:val="0"/>
              <w:autoSpaceDE w:val="0"/>
              <w:widowControl/>
              <w:spacing w:line="306" w:lineRule="exact" w:before="60" w:after="0"/>
              <w:ind w:left="24" w:right="0" w:firstLine="0"/>
              <w:jc w:val="left"/>
            </w:pPr>
            <w:r>
              <w:rPr>
                <w:w w:val="102.051303697669"/>
                <w:rFonts w:ascii="SourceSans3" w:hAnsi="SourceSans3" w:eastAsia="SourceSans3"/>
                <w:b/>
                <w:i w:val="0"/>
                <w:color w:val="FFFFFF"/>
                <w:sz w:val="23"/>
              </w:rPr>
              <w:t>© OECD – 2025</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sectPr>
          <w:pgSz w:w="11906" w:h="16838"/>
          <w:pgMar w:top="0" w:right="0" w:bottom="0" w:left="0" w:header="720" w:footer="720" w:gutter="0"/>
          <w:cols/>
          <w:docGrid w:linePitch="360"/>
        </w:sectPr>
      </w:pPr>
    </w:p>
    <w:p>
      <w:pPr>
        <w:autoSpaceDN w:val="0"/>
        <w:autoSpaceDE w:val="0"/>
        <w:widowControl/>
        <w:spacing w:line="220" w:lineRule="exact" w:before="0" w:after="404"/>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965200</wp:posOffset>
            </wp:positionH>
            <wp:positionV relativeFrom="page">
              <wp:posOffset>3994150</wp:posOffset>
            </wp:positionV>
            <wp:extent cx="5834380" cy="5808999"/>
            <wp:wrapNone/>
            <wp:docPr id="6" name="Picture 6"/>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834380" cy="5808999"/>
                    </a:xfrm>
                    <a:prstGeom prst="rect"/>
                  </pic:spPr>
                </pic:pic>
              </a:graphicData>
            </a:graphic>
          </wp:anchor>
        </w:drawing>
      </w:r>
    </w:p>
    <w:p>
      <w:pPr>
        <w:sectPr>
          <w:pgSz w:w="11906" w:h="16841"/>
          <w:pgMar w:top="422" w:right="1156" w:bottom="418" w:left="1440" w:header="720" w:footer="720" w:gutter="0"/>
          <w:cols/>
          <w:docGrid w:linePitch="360"/>
        </w:sectPr>
      </w:pPr>
    </w:p>
    <w:p>
      <w:pPr>
        <w:autoSpaceDN w:val="0"/>
        <w:autoSpaceDE w:val="0"/>
        <w:widowControl/>
        <w:spacing w:line="197" w:lineRule="auto" w:before="0" w:after="0"/>
        <w:ind w:left="22" w:right="0" w:firstLine="0"/>
        <w:jc w:val="left"/>
      </w:pPr>
      <w:r>
        <w:rPr>
          <w:rFonts w:ascii="Calibri" w:hAnsi="Calibri" w:eastAsia="Calibri"/>
          <w:b w:val="0"/>
          <w:i w:val="0"/>
          <w:color w:val="000000"/>
          <w:sz w:val="18"/>
        </w:rPr>
        <w:t xml:space="preserve">GLOBAL INSURANCE MARKET TRENDS - PRELIMINARY 2024 DATA </w:t>
      </w:r>
    </w:p>
    <w:p>
      <w:pPr>
        <w:sectPr>
          <w:type w:val="continuous"/>
          <w:pgSz w:w="11906" w:h="16841"/>
          <w:pgMar w:top="422" w:right="1156" w:bottom="418" w:left="1440" w:header="720" w:footer="720" w:gutter="0"/>
          <w:cols w:num="2" w:equalWidth="0">
            <w:col w:w="5978" w:space="0"/>
            <w:col w:w="3332" w:space="0"/>
          </w:cols>
          <w:docGrid w:linePitch="360"/>
        </w:sectPr>
      </w:pPr>
    </w:p>
    <w:p>
      <w:pPr>
        <w:autoSpaceDN w:val="0"/>
        <w:autoSpaceDE w:val="0"/>
        <w:widowControl/>
        <w:spacing w:line="240" w:lineRule="auto" w:before="0" w:after="0"/>
        <w:ind w:left="0" w:right="200" w:firstLine="0"/>
        <w:jc w:val="right"/>
      </w:pPr>
      <w:r>
        <w:drawing>
          <wp:inline xmlns:a="http://schemas.openxmlformats.org/drawingml/2006/main" xmlns:pic="http://schemas.openxmlformats.org/drawingml/2006/picture">
            <wp:extent cx="1266189" cy="294640"/>
            <wp:docPr id="5" name="Picture 5"/>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266189" cy="294640"/>
                    </a:xfrm>
                    <a:prstGeom prst="rect"/>
                  </pic:spPr>
                </pic:pic>
              </a:graphicData>
            </a:graphic>
          </wp:inline>
        </w:drawing>
      </w:r>
    </w:p>
    <w:p>
      <w:pPr>
        <w:spacing w:after="444"/>
        <w:sectPr>
          <w:type w:val="nextColumn"/>
          <w:pgSz w:w="11906" w:h="16841"/>
          <w:pgMar w:top="422" w:right="1156" w:bottom="418" w:left="1440" w:header="720" w:footer="720" w:gutter="0"/>
          <w:cols w:num="2" w:equalWidth="0">
            <w:col w:w="5978" w:space="0"/>
            <w:col w:w="3332" w:space="0"/>
          </w:cols>
          <w:docGrid w:linePitch="360"/>
        </w:sectPr>
      </w:pPr>
    </w:p>
    <w:p>
      <w:pPr>
        <w:autoSpaceDN w:val="0"/>
        <w:autoSpaceDE w:val="0"/>
        <w:widowControl/>
        <w:spacing w:line="197" w:lineRule="auto" w:before="0" w:after="0"/>
        <w:ind w:left="0" w:right="0" w:firstLine="0"/>
        <w:jc w:val="left"/>
      </w:pPr>
      <w:r>
        <w:rPr>
          <w:rFonts w:ascii="Calibri" w:hAnsi="Calibri" w:eastAsia="Calibri"/>
          <w:b/>
          <w:i w:val="0"/>
          <w:color w:val="365F91"/>
          <w:sz w:val="26"/>
        </w:rPr>
        <w:t xml:space="preserve">Insurers witnessed ongoing premium growth in 2024, with an uptick in the life </w:t>
      </w:r>
    </w:p>
    <w:p>
      <w:pPr>
        <w:autoSpaceDN w:val="0"/>
        <w:autoSpaceDE w:val="0"/>
        <w:widowControl/>
        <w:spacing w:line="197" w:lineRule="auto" w:before="106" w:after="0"/>
        <w:ind w:left="0" w:right="0" w:firstLine="0"/>
        <w:jc w:val="left"/>
      </w:pPr>
      <w:r>
        <w:rPr>
          <w:rFonts w:ascii="Calibri" w:hAnsi="Calibri" w:eastAsia="Calibri"/>
          <w:b/>
          <w:i w:val="0"/>
          <w:color w:val="365F91"/>
          <w:sz w:val="26"/>
        </w:rPr>
        <w:t xml:space="preserve">sector, while also registering investment gains </w:t>
      </w:r>
    </w:p>
    <w:p>
      <w:pPr>
        <w:autoSpaceDN w:val="0"/>
        <w:autoSpaceDE w:val="0"/>
        <w:widowControl/>
        <w:spacing w:line="250" w:lineRule="auto" w:before="296" w:after="0"/>
        <w:ind w:left="0" w:right="236" w:firstLine="0"/>
        <w:jc w:val="both"/>
      </w:pPr>
      <w:r>
        <w:rPr>
          <w:rFonts w:ascii="Calibri" w:hAnsi="Calibri" w:eastAsia="Calibri"/>
          <w:b w:val="0"/>
          <w:i w:val="0"/>
          <w:color w:val="000000"/>
          <w:sz w:val="20"/>
        </w:rPr>
        <w:t xml:space="preserve">Insurers achieved strong premium growth and investment gains in 2024. Preliminary data on insurers in both </w:t>
      </w:r>
      <w:r>
        <w:rPr>
          <w:rFonts w:ascii="Calibri" w:hAnsi="Calibri" w:eastAsia="Calibri"/>
          <w:b w:val="0"/>
          <w:i w:val="0"/>
          <w:color w:val="000000"/>
          <w:sz w:val="20"/>
        </w:rPr>
        <w:t xml:space="preserve">the life and non-life segments shows that premiums written grew faster than claims payments. Moreover, the </w:t>
      </w:r>
      <w:r>
        <w:rPr>
          <w:rFonts w:ascii="Calibri" w:hAnsi="Calibri" w:eastAsia="Calibri"/>
          <w:b w:val="0"/>
          <w:i w:val="0"/>
          <w:color w:val="000000"/>
          <w:sz w:val="20"/>
        </w:rPr>
        <w:t xml:space="preserve">strong performance of equity markets in 2024 led to investment gains in insurers’ portfolios. </w:t>
      </w:r>
    </w:p>
    <w:p>
      <w:pPr>
        <w:autoSpaceDN w:val="0"/>
        <w:autoSpaceDE w:val="0"/>
        <w:widowControl/>
        <w:spacing w:line="245" w:lineRule="auto" w:before="290" w:after="0"/>
        <w:ind w:left="0" w:right="144" w:firstLine="0"/>
        <w:jc w:val="left"/>
      </w:pPr>
      <w:r>
        <w:rPr>
          <w:rFonts w:ascii="Calibri" w:hAnsi="Calibri" w:eastAsia="Calibri"/>
          <w:b/>
          <w:i w:val="0"/>
          <w:color w:val="365F91"/>
          <w:sz w:val="24"/>
        </w:rPr>
        <w:t xml:space="preserve">Growth in non-life premiums remained strong, while growth in claims paid was more </w:t>
      </w:r>
      <w:r>
        <w:rPr>
          <w:rFonts w:ascii="Calibri" w:hAnsi="Calibri" w:eastAsia="Calibri"/>
          <w:b/>
          <w:i w:val="0"/>
          <w:color w:val="365F91"/>
          <w:sz w:val="24"/>
        </w:rPr>
        <w:t xml:space="preserve">moderate thanks to easing inflation and claims costs </w:t>
      </w:r>
    </w:p>
    <w:p>
      <w:pPr>
        <w:autoSpaceDN w:val="0"/>
        <w:autoSpaceDE w:val="0"/>
        <w:widowControl/>
        <w:spacing w:line="262" w:lineRule="auto" w:before="292" w:after="156"/>
        <w:ind w:left="0" w:right="236" w:firstLine="0"/>
        <w:jc w:val="both"/>
      </w:pPr>
      <w:r>
        <w:rPr>
          <w:rFonts w:ascii="Calibri" w:hAnsi="Calibri" w:eastAsia="Calibri"/>
          <w:b/>
          <w:i w:val="0"/>
          <w:color w:val="000000"/>
          <w:sz w:val="20"/>
        </w:rPr>
        <w:t xml:space="preserve">In 2024, the non-life insurance sector reported an average growth of 7.4% in gross premiums written in </w:t>
      </w:r>
      <w:r>
        <w:rPr>
          <w:rFonts w:ascii="Calibri" w:hAnsi="Calibri" w:eastAsia="Calibri"/>
          <w:b/>
          <w:i w:val="0"/>
          <w:color w:val="000000"/>
          <w:sz w:val="20"/>
        </w:rPr>
        <w:t>nominal terms, 4.4% in real terms, continuing the trend seen in 2023</w:t>
      </w:r>
      <w:r>
        <w:rPr>
          <w:rFonts w:ascii="Calibri" w:hAnsi="Calibri" w:eastAsia="Calibri"/>
          <w:b w:val="0"/>
          <w:i w:val="0"/>
          <w:color w:val="000000"/>
          <w:sz w:val="20"/>
        </w:rPr>
        <w:t xml:space="preserve">. Gross premiums written increased in all </w:t>
      </w:r>
      <w:r>
        <w:rPr>
          <w:rFonts w:ascii="Calibri" w:hAnsi="Calibri" w:eastAsia="Calibri"/>
          <w:b w:val="0"/>
          <w:i w:val="0"/>
          <w:color w:val="000000"/>
          <w:sz w:val="20"/>
        </w:rPr>
        <w:t xml:space="preserve">but two reporting jurisdictions in nominal terms and in most jurisdictions in real terms (Figure 1). The growth </w:t>
      </w:r>
      <w:r>
        <w:rPr>
          <w:rFonts w:ascii="Calibri" w:hAnsi="Calibri" w:eastAsia="Calibri"/>
          <w:b w:val="0"/>
          <w:i w:val="0"/>
          <w:color w:val="000000"/>
          <w:sz w:val="20"/>
        </w:rPr>
        <w:t xml:space="preserve">rate of premiums generally exceeded the growth rate of claims paid, which was more moderate (3.8% in nominal </w:t>
      </w:r>
      <w:r>
        <w:rPr>
          <w:rFonts w:ascii="Calibri" w:hAnsi="Calibri" w:eastAsia="Calibri"/>
          <w:b w:val="0"/>
          <w:i w:val="0"/>
          <w:color w:val="000000"/>
          <w:sz w:val="20"/>
        </w:rPr>
        <w:t xml:space="preserve">terms, and 0.8% in real terms), positively impacting the underwriting performance of insurers. </w:t>
      </w:r>
    </w:p>
    <w:tbl>
      <w:tblPr>
        <w:tblW w:type="auto" w:w="0"/>
        <w:tblLayout w:type="fixed"/>
        <w:tblLook w:firstColumn="1" w:firstRow="1" w:lastColumn="0" w:lastRow="0" w:noHBand="0" w:noVBand="1" w:val="04A0"/>
        <w:tblInd w:w="74.00000000000006" w:type="dxa"/>
      </w:tblPr>
      <w:tblGrid>
        <w:gridCol w:w="9310"/>
      </w:tblGrid>
      <w:tr>
        <w:trPr>
          <w:trHeight w:hRule="exact" w:val="9360"/>
        </w:trPr>
        <w:tc>
          <w:tcPr>
            <w:tcW w:type="dxa" w:w="9202"/>
            <w:tcBorders>
              <w:start w:sz="12.0" w:val="single" w:color="#CBCCCB"/>
              <w:top w:sz="12.0" w:val="single" w:color="#CBCCCB"/>
              <w:end w:sz="12.0" w:val="single" w:color="#CBCCCB"/>
              <w:bottom w:sz="12.0" w:val="single" w:color="#CBCCCB"/>
            </w:tcBorders>
            <w:shd w:fill="ffffff"/>
            <w:tcMar>
              <w:start w:w="0" w:type="dxa"/>
              <w:end w:w="0" w:type="dxa"/>
            </w:tcMar>
          </w:tcPr>
          <w:p>
            <w:pPr>
              <w:autoSpaceDN w:val="0"/>
              <w:autoSpaceDE w:val="0"/>
              <w:widowControl/>
              <w:spacing w:line="186" w:lineRule="exact" w:before="192" w:after="0"/>
              <w:ind w:left="144" w:right="144" w:firstLine="0"/>
              <w:jc w:val="center"/>
            </w:pPr>
            <w:r>
              <w:rPr>
                <w:rFonts w:ascii="Arial" w:hAnsi="Arial" w:eastAsia="Arial"/>
                <w:b/>
                <w:i w:val="0"/>
                <w:color w:val="000000"/>
                <w:sz w:val="16"/>
              </w:rPr>
              <w:t xml:space="preserve">Figure 1. Annual growth rates of direct gross premiums written and claims paid by domestic insurance companies </w:t>
            </w:r>
            <w:r>
              <w:rPr>
                <w:rFonts w:ascii="Arial" w:hAnsi="Arial" w:eastAsia="Arial"/>
                <w:b/>
                <w:i w:val="0"/>
                <w:color w:val="000000"/>
                <w:sz w:val="16"/>
              </w:rPr>
              <w:t xml:space="preserve">in the non-life sector in 2024 (preliminary) </w:t>
            </w:r>
          </w:p>
          <w:p>
            <w:pPr>
              <w:autoSpaceDN w:val="0"/>
              <w:autoSpaceDE w:val="0"/>
              <w:widowControl/>
              <w:spacing w:line="168" w:lineRule="exact" w:before="124" w:after="0"/>
              <w:ind w:left="0" w:right="0" w:firstLine="0"/>
              <w:jc w:val="center"/>
            </w:pPr>
            <w:r>
              <w:rPr>
                <w:rFonts w:ascii="ArialMT" w:hAnsi="ArialMT" w:eastAsia="ArialMT"/>
                <w:b w:val="0"/>
                <w:i w:val="0"/>
                <w:color w:val="000000"/>
                <w:sz w:val="15"/>
              </w:rPr>
              <w:t xml:space="preserve">In per cent </w:t>
            </w:r>
          </w:p>
          <w:p>
            <w:pPr>
              <w:autoSpaceDN w:val="0"/>
              <w:autoSpaceDE w:val="0"/>
              <w:widowControl/>
              <w:spacing w:line="158" w:lineRule="exact" w:before="8026" w:after="0"/>
              <w:ind w:left="1554" w:right="4176" w:firstLine="0"/>
              <w:jc w:val="left"/>
            </w:pPr>
            <w:r>
              <w:rPr>
                <w:rFonts w:ascii="ArialMT" w:hAnsi="ArialMT" w:eastAsia="ArialMT"/>
                <w:b w:val="0"/>
                <w:i w:val="0"/>
                <w:color w:val="000000"/>
                <w:sz w:val="12"/>
              </w:rPr>
              <w:t xml:space="preserve">Notes: See the end of this factsheet for methodological notes. </w:t>
            </w:r>
            <w:r>
              <w:br/>
            </w:r>
            <w:r>
              <w:rPr>
                <w:rFonts w:ascii="ArialMT" w:hAnsi="ArialMT" w:eastAsia="ArialMT"/>
                <w:b w:val="0"/>
                <w:i w:val="0"/>
                <w:color w:val="000000"/>
                <w:sz w:val="12"/>
              </w:rPr>
              <w:t xml:space="preserve">Source: OECD Global Insurance Statistics. </w:t>
            </w:r>
          </w:p>
        </w:tc>
      </w:tr>
    </w:tbl>
    <w:p>
      <w:pPr>
        <w:autoSpaceDN w:val="0"/>
        <w:autoSpaceDE w:val="0"/>
        <w:widowControl/>
        <w:spacing w:line="197" w:lineRule="auto" w:before="322" w:after="0"/>
        <w:ind w:left="0" w:right="4692" w:firstLine="0"/>
        <w:jc w:val="right"/>
      </w:pPr>
      <w:r>
        <w:rPr>
          <w:rFonts w:ascii="Calibri" w:hAnsi="Calibri" w:eastAsia="Calibri"/>
          <w:b w:val="0"/>
          <w:i w:val="0"/>
          <w:color w:val="000000"/>
          <w:sz w:val="22"/>
        </w:rPr>
        <w:t xml:space="preserve">2 </w:t>
      </w:r>
    </w:p>
    <w:p>
      <w:pPr>
        <w:sectPr>
          <w:type w:val="continuous"/>
          <w:pgSz w:w="11906" w:h="16841"/>
          <w:pgMar w:top="422" w:right="1156" w:bottom="418" w:left="1440" w:header="720" w:footer="720" w:gutter="0"/>
          <w:cols/>
          <w:docGrid w:linePitch="360"/>
        </w:sectPr>
      </w:pPr>
    </w:p>
    <w:p>
      <w:pPr>
        <w:autoSpaceDN w:val="0"/>
        <w:autoSpaceDE w:val="0"/>
        <w:widowControl/>
        <w:spacing w:line="220" w:lineRule="exact" w:before="0" w:after="404"/>
        <w:ind w:left="0" w:right="0"/>
      </w:pPr>
    </w:p>
    <w:p>
      <w:pPr>
        <w:sectPr>
          <w:pgSz w:w="11906" w:h="16841"/>
          <w:pgMar w:top="422" w:right="1336" w:bottom="418" w:left="1440" w:header="720" w:footer="720" w:gutter="0"/>
          <w:cols/>
          <w:docGrid w:linePitch="360"/>
        </w:sectPr>
      </w:pPr>
    </w:p>
    <w:p>
      <w:pPr>
        <w:autoSpaceDN w:val="0"/>
        <w:autoSpaceDE w:val="0"/>
        <w:widowControl/>
        <w:spacing w:line="197" w:lineRule="auto" w:before="0" w:after="0"/>
        <w:ind w:left="22" w:right="0" w:firstLine="0"/>
        <w:jc w:val="left"/>
      </w:pPr>
      <w:r>
        <w:rPr>
          <w:rFonts w:ascii="Calibri" w:hAnsi="Calibri" w:eastAsia="Calibri"/>
          <w:b w:val="0"/>
          <w:i w:val="0"/>
          <w:color w:val="000000"/>
          <w:sz w:val="18"/>
        </w:rPr>
        <w:t xml:space="preserve">GLOBAL INSURANCE MARKET TRENDS - PRELIMINARY 2024 DATA </w:t>
      </w:r>
    </w:p>
    <w:p>
      <w:pPr>
        <w:sectPr>
          <w:type w:val="continuous"/>
          <w:pgSz w:w="11906" w:h="16841"/>
          <w:pgMar w:top="422" w:right="1336" w:bottom="418" w:left="1440" w:header="720" w:footer="720" w:gutter="0"/>
          <w:cols w:num="2" w:equalWidth="0">
            <w:col w:w="5978" w:space="0"/>
            <w:col w:w="3152" w:space="0"/>
          </w:cols>
          <w:docGrid w:linePitch="360"/>
        </w:sectPr>
      </w:pPr>
    </w:p>
    <w:p>
      <w:pPr>
        <w:autoSpaceDN w:val="0"/>
        <w:autoSpaceDE w:val="0"/>
        <w:widowControl/>
        <w:spacing w:line="240" w:lineRule="auto" w:before="0" w:after="0"/>
        <w:ind w:left="0" w:right="20" w:firstLine="0"/>
        <w:jc w:val="right"/>
      </w:pPr>
      <w:r>
        <w:drawing>
          <wp:inline xmlns:a="http://schemas.openxmlformats.org/drawingml/2006/main" xmlns:pic="http://schemas.openxmlformats.org/drawingml/2006/picture">
            <wp:extent cx="1266189" cy="294640"/>
            <wp:docPr id="7" name="Picture 7"/>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266189" cy="294640"/>
                    </a:xfrm>
                    <a:prstGeom prst="rect"/>
                  </pic:spPr>
                </pic:pic>
              </a:graphicData>
            </a:graphic>
          </wp:inline>
        </w:drawing>
      </w:r>
    </w:p>
    <w:p>
      <w:pPr>
        <w:spacing w:after="434"/>
        <w:sectPr>
          <w:type w:val="nextColumn"/>
          <w:pgSz w:w="11906" w:h="16841"/>
          <w:pgMar w:top="422" w:right="1336" w:bottom="418" w:left="1440" w:header="720" w:footer="720" w:gutter="0"/>
          <w:cols w:num="2" w:equalWidth="0">
            <w:col w:w="5978" w:space="0"/>
            <w:col w:w="3152" w:space="0"/>
          </w:cols>
          <w:docGrid w:linePitch="360"/>
        </w:sectPr>
      </w:pPr>
    </w:p>
    <w:p>
      <w:pPr>
        <w:autoSpaceDN w:val="0"/>
        <w:autoSpaceDE w:val="0"/>
        <w:widowControl/>
        <w:spacing w:line="264" w:lineRule="auto" w:before="0" w:after="0"/>
        <w:ind w:left="0" w:right="56" w:firstLine="0"/>
        <w:jc w:val="both"/>
      </w:pPr>
      <w:r>
        <w:rPr>
          <w:rFonts w:ascii="Calibri" w:hAnsi="Calibri" w:eastAsia="Calibri"/>
          <w:b/>
          <w:i w:val="0"/>
          <w:color w:val="000000"/>
          <w:sz w:val="20"/>
        </w:rPr>
        <w:t xml:space="preserve">The growth in premiums was partly the result of inflation in previous years. </w:t>
      </w:r>
      <w:r>
        <w:rPr>
          <w:rFonts w:ascii="Calibri" w:hAnsi="Calibri" w:eastAsia="Calibri"/>
          <w:b w:val="0"/>
          <w:i w:val="0"/>
          <w:color w:val="000000"/>
          <w:sz w:val="20"/>
        </w:rPr>
        <w:t xml:space="preserve">Inflation started rising in 2021 and </w:t>
      </w:r>
      <w:r>
        <w:rPr>
          <w:rFonts w:ascii="Calibri" w:hAnsi="Calibri" w:eastAsia="Calibri"/>
          <w:b w:val="0"/>
          <w:i w:val="0"/>
          <w:color w:val="000000"/>
          <w:sz w:val="20"/>
        </w:rPr>
        <w:t xml:space="preserve">soared in 2022 before easing in 2023. The rise in inflation led to a surge in claims costs in multiple lines of </w:t>
      </w:r>
      <w:r>
        <w:rPr>
          <w:rFonts w:ascii="Calibri" w:hAnsi="Calibri" w:eastAsia="Calibri"/>
          <w:b w:val="0"/>
          <w:i w:val="0"/>
          <w:color w:val="000000"/>
          <w:sz w:val="20"/>
        </w:rPr>
        <w:t>business, which insurers passed to customers to some extent through higher policy rates.</w:t>
      </w:r>
      <w:r>
        <w:rPr>
          <w:rFonts w:ascii="Calibri" w:hAnsi="Calibri" w:eastAsia="Calibri"/>
          <w:b w:val="0"/>
          <w:i w:val="0"/>
          <w:color w:val="000000"/>
          <w:sz w:val="13"/>
        </w:rPr>
        <w:t>1</w:t>
      </w:r>
      <w:r>
        <w:rPr>
          <w:rFonts w:ascii="Calibri" w:hAnsi="Calibri" w:eastAsia="Calibri"/>
          <w:b w:val="0"/>
          <w:i w:val="0"/>
          <w:color w:val="000000"/>
          <w:sz w:val="20"/>
        </w:rPr>
        <w:t xml:space="preserve"> The increase in policy </w:t>
      </w:r>
      <w:r>
        <w:rPr>
          <w:rFonts w:ascii="Calibri" w:hAnsi="Calibri" w:eastAsia="Calibri"/>
          <w:b w:val="0"/>
          <w:i w:val="0"/>
          <w:color w:val="000000"/>
          <w:sz w:val="20"/>
        </w:rPr>
        <w:t xml:space="preserve">rates continued in 2024 as insurers may have been catching up with the increases in general price levels. For </w:t>
      </w:r>
      <w:r>
        <w:rPr>
          <w:rFonts w:ascii="Calibri" w:hAnsi="Calibri" w:eastAsia="Calibri"/>
          <w:b w:val="0"/>
          <w:i w:val="0"/>
          <w:color w:val="000000"/>
          <w:sz w:val="20"/>
        </w:rPr>
        <w:t xml:space="preserve">example, the higher cost of medical products and hospital and health services due to inflation continued to put </w:t>
      </w:r>
      <w:r>
        <w:rPr>
          <w:rFonts w:ascii="Calibri" w:hAnsi="Calibri" w:eastAsia="Calibri"/>
          <w:b w:val="0"/>
          <w:i w:val="0"/>
          <w:color w:val="000000"/>
          <w:sz w:val="20"/>
        </w:rPr>
        <w:t xml:space="preserve">upward pressure on health insurance premiums in some jurisdictions (e.g. Latvia). </w:t>
      </w:r>
    </w:p>
    <w:p>
      <w:pPr>
        <w:autoSpaceDN w:val="0"/>
        <w:autoSpaceDE w:val="0"/>
        <w:widowControl/>
        <w:spacing w:line="264" w:lineRule="auto" w:before="282" w:after="0"/>
        <w:ind w:left="0" w:right="56" w:firstLine="0"/>
        <w:jc w:val="both"/>
      </w:pPr>
      <w:r>
        <w:rPr>
          <w:rFonts w:ascii="Calibri" w:hAnsi="Calibri" w:eastAsia="Calibri"/>
          <w:b/>
          <w:i w:val="0"/>
          <w:color w:val="000000"/>
          <w:sz w:val="20"/>
        </w:rPr>
        <w:t xml:space="preserve">The increase in the sales of non-life insurance policies may have been another contributing factor to premium </w:t>
      </w:r>
      <w:r>
        <w:rPr>
          <w:rFonts w:ascii="Calibri" w:hAnsi="Calibri" w:eastAsia="Calibri"/>
          <w:b/>
          <w:i w:val="0"/>
          <w:color w:val="000000"/>
          <w:sz w:val="20"/>
        </w:rPr>
        <w:t xml:space="preserve">growth </w:t>
      </w:r>
      <w:r>
        <w:rPr>
          <w:rFonts w:ascii="Calibri" w:hAnsi="Calibri" w:eastAsia="Calibri"/>
          <w:b w:val="0"/>
          <w:i w:val="0"/>
          <w:color w:val="000000"/>
          <w:sz w:val="20"/>
        </w:rPr>
        <w:t xml:space="preserve">in some jurisdictions. For example, Mexico reported an increase in the number of holders of health </w:t>
      </w:r>
      <w:r>
        <w:rPr>
          <w:rFonts w:ascii="Calibri" w:hAnsi="Calibri" w:eastAsia="Calibri"/>
          <w:b w:val="0"/>
          <w:i w:val="0"/>
          <w:color w:val="000000"/>
          <w:sz w:val="20"/>
        </w:rPr>
        <w:t xml:space="preserve">insurance policies, supporting premium growth in that sector. Some jurisdictions noted an increase in the sales </w:t>
      </w:r>
      <w:r>
        <w:rPr>
          <w:rFonts w:ascii="Calibri" w:hAnsi="Calibri" w:eastAsia="Calibri"/>
          <w:b w:val="0"/>
          <w:i w:val="0"/>
          <w:color w:val="000000"/>
          <w:sz w:val="20"/>
        </w:rPr>
        <w:t xml:space="preserve">of new cars (e.g. Nicaragua), spurring the purchase of motor vehicle insurance cover. Overall economic activity </w:t>
      </w:r>
      <w:r>
        <w:rPr>
          <w:rFonts w:ascii="Calibri" w:hAnsi="Calibri" w:eastAsia="Calibri"/>
          <w:b w:val="0"/>
          <w:i w:val="0"/>
          <w:color w:val="000000"/>
          <w:sz w:val="20"/>
        </w:rPr>
        <w:t xml:space="preserve">can also affect the purchase of insurance policies. For instance, Peru reported new construction, mining and </w:t>
      </w:r>
      <w:r>
        <w:rPr>
          <w:rFonts w:ascii="Calibri" w:hAnsi="Calibri" w:eastAsia="Calibri"/>
          <w:b w:val="0"/>
          <w:i w:val="0"/>
          <w:color w:val="000000"/>
          <w:sz w:val="20"/>
        </w:rPr>
        <w:t xml:space="preserve">irrigation projects that boosted the insurance market. </w:t>
      </w:r>
    </w:p>
    <w:p>
      <w:pPr>
        <w:autoSpaceDN w:val="0"/>
        <w:autoSpaceDE w:val="0"/>
        <w:widowControl/>
        <w:spacing w:line="269" w:lineRule="auto" w:before="284" w:after="0"/>
        <w:ind w:left="0" w:right="56" w:firstLine="0"/>
        <w:jc w:val="both"/>
      </w:pPr>
      <w:r>
        <w:rPr>
          <w:rFonts w:ascii="Calibri" w:hAnsi="Calibri" w:eastAsia="Calibri"/>
          <w:b w:val="0"/>
          <w:i w:val="0"/>
          <w:color w:val="000000"/>
          <w:sz w:val="20"/>
        </w:rPr>
        <w:t xml:space="preserve">Meanwhile, </w:t>
      </w:r>
      <w:r>
        <w:rPr>
          <w:rFonts w:ascii="Calibri" w:hAnsi="Calibri" w:eastAsia="Calibri"/>
          <w:b/>
          <w:i w:val="0"/>
          <w:color w:val="000000"/>
          <w:sz w:val="20"/>
        </w:rPr>
        <w:t xml:space="preserve">the changes in the number of insurance policies affected the number of claims made and the </w:t>
      </w:r>
      <w:r>
        <w:rPr>
          <w:rFonts w:ascii="Calibri" w:hAnsi="Calibri" w:eastAsia="Calibri"/>
          <w:b/>
          <w:i w:val="0"/>
          <w:color w:val="000000"/>
          <w:sz w:val="20"/>
        </w:rPr>
        <w:t>amount that insurers paid.</w:t>
      </w:r>
      <w:r>
        <w:rPr>
          <w:rFonts w:ascii="Calibri" w:hAnsi="Calibri" w:eastAsia="Calibri"/>
          <w:b w:val="0"/>
          <w:i w:val="0"/>
          <w:color w:val="000000"/>
          <w:sz w:val="20"/>
        </w:rPr>
        <w:t xml:space="preserve"> A higher number of insurance policies is likely to lead to a higher number of claims, </w:t>
      </w:r>
      <w:r>
        <w:rPr>
          <w:rFonts w:ascii="Calibri" w:hAnsi="Calibri" w:eastAsia="Calibri"/>
          <w:b w:val="0"/>
          <w:i w:val="0"/>
          <w:color w:val="000000"/>
          <w:sz w:val="20"/>
        </w:rPr>
        <w:t xml:space="preserve">and thus claims payments, as in the motor vehicle insurance sector in Mexico and Nicaragua. Conversely, the </w:t>
      </w:r>
      <w:r>
        <w:rPr>
          <w:rFonts w:ascii="Calibri" w:hAnsi="Calibri" w:eastAsia="Calibri"/>
          <w:b w:val="0"/>
          <w:i w:val="0"/>
          <w:color w:val="000000"/>
          <w:sz w:val="20"/>
        </w:rPr>
        <w:t xml:space="preserve">termination of insurance policies affects both premiums and claims payments. For example, Slovenia recorded </w:t>
      </w:r>
      <w:r>
        <w:rPr>
          <w:rFonts w:ascii="Calibri" w:hAnsi="Calibri" w:eastAsia="Calibri"/>
          <w:b w:val="0"/>
          <w:i w:val="0"/>
          <w:color w:val="000000"/>
          <w:sz w:val="20"/>
        </w:rPr>
        <w:t xml:space="preserve">a 18.6% decline in premiums and a 72.7% decline in claims paid in nominal terms due to the termination of </w:t>
      </w:r>
      <w:r>
        <w:rPr>
          <w:rFonts w:ascii="Calibri" w:hAnsi="Calibri" w:eastAsia="Calibri"/>
          <w:b w:val="0"/>
          <w:i w:val="0"/>
          <w:color w:val="000000"/>
          <w:sz w:val="20"/>
        </w:rPr>
        <w:t>supplementary health insurance effective from end-2023.</w:t>
      </w:r>
      <w:r>
        <w:rPr>
          <w:rFonts w:ascii="Calibri" w:hAnsi="Calibri" w:eastAsia="Calibri"/>
          <w:b w:val="0"/>
          <w:i w:val="0"/>
          <w:color w:val="000000"/>
          <w:sz w:val="13"/>
        </w:rPr>
        <w:t>2</w:t>
      </w:r>
      <w:r>
        <w:rPr>
          <w:rFonts w:ascii="Calibri" w:hAnsi="Calibri" w:eastAsia="Calibri"/>
          <w:b w:val="0"/>
          <w:i w:val="0"/>
          <w:color w:val="000000"/>
          <w:sz w:val="20"/>
        </w:rPr>
        <w:t xml:space="preserve"> Ireland has a large international insurance market </w:t>
      </w:r>
      <w:r>
        <w:rPr>
          <w:rFonts w:ascii="Calibri" w:hAnsi="Calibri" w:eastAsia="Calibri"/>
          <w:b w:val="0"/>
          <w:i w:val="0"/>
          <w:color w:val="000000"/>
          <w:sz w:val="20"/>
        </w:rPr>
        <w:t xml:space="preserve">and the reductions in non-life premiums and claims are driven by a transfer of international business out of the </w:t>
      </w:r>
      <w:r>
        <w:rPr>
          <w:rFonts w:ascii="Calibri" w:hAnsi="Calibri" w:eastAsia="Calibri"/>
          <w:b w:val="0"/>
          <w:i w:val="0"/>
          <w:color w:val="000000"/>
          <w:sz w:val="20"/>
        </w:rPr>
        <w:t xml:space="preserve">country. Excluding these transfers out of business, there was an overall modest increase in non-life premiums </w:t>
      </w:r>
      <w:r>
        <w:rPr>
          <w:rFonts w:ascii="Calibri" w:hAnsi="Calibri" w:eastAsia="Calibri"/>
          <w:b w:val="0"/>
          <w:i w:val="0"/>
          <w:color w:val="000000"/>
          <w:sz w:val="20"/>
        </w:rPr>
        <w:t>and claims over the year.</w:t>
      </w:r>
    </w:p>
    <w:p>
      <w:pPr>
        <w:autoSpaceDN w:val="0"/>
        <w:autoSpaceDE w:val="0"/>
        <w:widowControl/>
        <w:spacing w:line="266" w:lineRule="auto" w:before="284" w:after="0"/>
        <w:ind w:left="0" w:right="0" w:firstLine="0"/>
        <w:jc w:val="left"/>
      </w:pPr>
      <w:r>
        <w:rPr>
          <w:rFonts w:ascii="Calibri" w:hAnsi="Calibri" w:eastAsia="Calibri"/>
          <w:b/>
          <w:i w:val="0"/>
          <w:color w:val="000000"/>
          <w:sz w:val="20"/>
        </w:rPr>
        <w:t xml:space="preserve">Natural hazards contributed to the growth in claims paid in 2024 and explained some of the largest increases. </w:t>
      </w:r>
      <w:r>
        <w:rPr>
          <w:rFonts w:ascii="Calibri" w:hAnsi="Calibri" w:eastAsia="Calibri"/>
          <w:b w:val="0"/>
          <w:i w:val="0"/>
          <w:color w:val="000000"/>
          <w:sz w:val="20"/>
        </w:rPr>
        <w:t xml:space="preserve">According to Swiss Re, natural hazards caused USD 137 billion in insured losses in 2024, which is more than in </w:t>
      </w:r>
      <w:r>
        <w:rPr>
          <w:rFonts w:ascii="Calibri" w:hAnsi="Calibri" w:eastAsia="Calibri"/>
          <w:b w:val="0"/>
          <w:i w:val="0"/>
          <w:color w:val="000000"/>
          <w:sz w:val="20"/>
        </w:rPr>
        <w:t>2023 (USD 115 billion).</w:t>
      </w:r>
      <w:r>
        <w:rPr>
          <w:rFonts w:ascii="Calibri" w:hAnsi="Calibri" w:eastAsia="Calibri"/>
          <w:b w:val="0"/>
          <w:i w:val="0"/>
          <w:color w:val="000000"/>
          <w:sz w:val="13"/>
        </w:rPr>
        <w:t>3</w:t>
      </w:r>
      <w:r>
        <w:rPr>
          <w:rFonts w:ascii="Calibri" w:hAnsi="Calibri" w:eastAsia="Calibri"/>
          <w:b w:val="0"/>
          <w:i w:val="0"/>
          <w:color w:val="000000"/>
          <w:sz w:val="20"/>
        </w:rPr>
        <w:t xml:space="preserve"> Most of the losses resulted from secondary perils (i.e. small to mid-sized loss events as </w:t>
      </w:r>
      <w:r>
        <w:rPr>
          <w:rFonts w:ascii="Calibri" w:hAnsi="Calibri" w:eastAsia="Calibri"/>
          <w:b w:val="0"/>
          <w:i w:val="0"/>
          <w:color w:val="000000"/>
          <w:sz w:val="20"/>
        </w:rPr>
        <w:t xml:space="preserve">opposed to primary perils that are rarer but entail larger losses). For instance, Czechia recorded a 35.2% growth </w:t>
      </w:r>
      <w:r>
        <w:rPr>
          <w:rFonts w:ascii="Calibri" w:hAnsi="Calibri" w:eastAsia="Calibri"/>
          <w:b w:val="0"/>
          <w:i w:val="0"/>
          <w:color w:val="000000"/>
          <w:sz w:val="20"/>
        </w:rPr>
        <w:t xml:space="preserve">in claims paid in nominal terms primarily due to extraordinary natural events experienced in 2024. Conversely, </w:t>
      </w:r>
      <w:r>
        <w:rPr>
          <w:rFonts w:ascii="Calibri" w:hAnsi="Calibri" w:eastAsia="Calibri"/>
          <w:b w:val="0"/>
          <w:i w:val="0"/>
          <w:color w:val="000000"/>
          <w:sz w:val="20"/>
        </w:rPr>
        <w:t xml:space="preserve">several jurisdictions saw a return to lower levels of claims payments in 2024 after high cost events in 2023, such </w:t>
      </w:r>
      <w:r>
        <w:rPr>
          <w:rFonts w:ascii="Calibri" w:hAnsi="Calibri" w:eastAsia="Calibri"/>
          <w:b w:val="0"/>
          <w:i w:val="0"/>
          <w:color w:val="000000"/>
          <w:sz w:val="20"/>
        </w:rPr>
        <w:t xml:space="preserve">as Greece (floods), Panama (fires) and Uruguay (major drought). Such declines contributed to the moderate </w:t>
      </w:r>
      <w:r>
        <w:rPr>
          <w:rFonts w:ascii="Calibri" w:hAnsi="Calibri" w:eastAsia="Calibri"/>
          <w:b w:val="0"/>
          <w:i w:val="0"/>
          <w:color w:val="000000"/>
          <w:sz w:val="20"/>
        </w:rPr>
        <w:t xml:space="preserve">average growth in claims paid among reporting jurisdictions. </w:t>
      </w:r>
    </w:p>
    <w:p>
      <w:pPr>
        <w:autoSpaceDN w:val="0"/>
        <w:autoSpaceDE w:val="0"/>
        <w:widowControl/>
        <w:spacing w:line="264" w:lineRule="auto" w:before="286" w:after="0"/>
        <w:ind w:left="0" w:right="56" w:firstLine="0"/>
        <w:jc w:val="both"/>
      </w:pPr>
      <w:r>
        <w:rPr>
          <w:rFonts w:ascii="Calibri" w:hAnsi="Calibri" w:eastAsia="Calibri"/>
          <w:b/>
          <w:i w:val="0"/>
          <w:color w:val="000000"/>
          <w:sz w:val="20"/>
        </w:rPr>
        <w:t>Declining inflation alleviated pressure on claims costs in 2024.</w:t>
      </w:r>
      <w:r>
        <w:rPr>
          <w:rFonts w:ascii="Calibri" w:hAnsi="Calibri" w:eastAsia="Calibri"/>
          <w:b w:val="0"/>
          <w:i w:val="0"/>
          <w:color w:val="000000"/>
          <w:sz w:val="20"/>
        </w:rPr>
        <w:t xml:space="preserve"> General prices continued to increase and claims </w:t>
      </w:r>
      <w:r>
        <w:rPr>
          <w:rFonts w:ascii="Calibri" w:hAnsi="Calibri" w:eastAsia="Calibri"/>
          <w:b w:val="0"/>
          <w:i w:val="0"/>
          <w:color w:val="000000"/>
          <w:sz w:val="20"/>
        </w:rPr>
        <w:t xml:space="preserve">costs continued to grow as a result of inflation, as noted by national authorities (e.g. Iceland and Romania). </w:t>
      </w:r>
      <w:r>
        <w:rPr>
          <w:rFonts w:ascii="Calibri" w:hAnsi="Calibri" w:eastAsia="Calibri"/>
          <w:b w:val="0"/>
          <w:i w:val="0"/>
          <w:color w:val="000000"/>
          <w:sz w:val="20"/>
        </w:rPr>
        <w:t xml:space="preserve">However, inflation fell and stood at 5.2% in the OECD, which is 1.6 percentage points lower than in 2023 and 4 </w:t>
      </w:r>
      <w:r>
        <w:rPr>
          <w:rFonts w:ascii="Calibri" w:hAnsi="Calibri" w:eastAsia="Calibri"/>
          <w:b w:val="0"/>
          <w:i w:val="0"/>
          <w:color w:val="000000"/>
          <w:sz w:val="20"/>
        </w:rPr>
        <w:t>percentage points lower than in 2022.</w:t>
      </w:r>
      <w:r>
        <w:rPr>
          <w:rFonts w:ascii="Calibri" w:hAnsi="Calibri" w:eastAsia="Calibri"/>
          <w:b w:val="0"/>
          <w:i w:val="0"/>
          <w:color w:val="000000"/>
          <w:sz w:val="13"/>
        </w:rPr>
        <w:t>4</w:t>
      </w:r>
      <w:r>
        <w:rPr>
          <w:rFonts w:ascii="Calibri" w:hAnsi="Calibri" w:eastAsia="Calibri"/>
          <w:b w:val="0"/>
          <w:i w:val="0"/>
          <w:color w:val="000000"/>
          <w:sz w:val="20"/>
        </w:rPr>
        <w:t xml:space="preserve"> This likely contributed to the deceleration of claims paid in 2024, growing </w:t>
      </w:r>
      <w:r>
        <w:rPr>
          <w:rFonts w:ascii="Calibri" w:hAnsi="Calibri" w:eastAsia="Calibri"/>
          <w:b w:val="0"/>
          <w:i w:val="0"/>
          <w:color w:val="000000"/>
          <w:sz w:val="20"/>
        </w:rPr>
        <w:t xml:space="preserve">on average by around 4% in nominal terms among reporting jurisdictions in 2024, compared to around 17% both </w:t>
      </w:r>
      <w:r>
        <w:rPr>
          <w:rFonts w:ascii="Calibri" w:hAnsi="Calibri" w:eastAsia="Calibri"/>
          <w:b w:val="0"/>
          <w:i w:val="0"/>
          <w:color w:val="000000"/>
          <w:sz w:val="20"/>
        </w:rPr>
        <w:t>in 2023 and 2022.</w:t>
      </w:r>
      <w:r>
        <w:rPr>
          <w:rFonts w:ascii="Calibri" w:hAnsi="Calibri" w:eastAsia="Calibri"/>
          <w:b w:val="0"/>
          <w:i w:val="0"/>
          <w:color w:val="000000"/>
          <w:sz w:val="13"/>
        </w:rPr>
        <w:t>5</w:t>
      </w:r>
    </w:p>
    <w:p>
      <w:pPr>
        <w:autoSpaceDN w:val="0"/>
        <w:autoSpaceDE w:val="0"/>
        <w:widowControl/>
        <w:spacing w:line="245" w:lineRule="auto" w:before="940" w:after="0"/>
        <w:ind w:left="0" w:right="0" w:firstLine="0"/>
        <w:jc w:val="left"/>
      </w:pPr>
      <w:r>
        <w:rPr>
          <w:rFonts w:ascii="Calibri" w:hAnsi="Calibri" w:eastAsia="Calibri"/>
          <w:b w:val="0"/>
          <w:i w:val="0"/>
          <w:color w:val="000000"/>
          <w:sz w:val="13"/>
        </w:rPr>
        <w:t>1</w:t>
      </w:r>
      <w:r>
        <w:rPr>
          <w:rFonts w:ascii="Calibri" w:hAnsi="Calibri" w:eastAsia="Calibri"/>
          <w:b w:val="0"/>
          <w:i w:val="0"/>
          <w:color w:val="0000FF"/>
          <w:sz w:val="20"/>
          <w:u w:val="single"/>
        </w:rPr>
        <w:hyperlink r:id="rId18" w:history="1">
          <w:r>
            <w:rPr>
              <w:rStyle w:val="Hyperlink"/>
            </w:rPr>
            <w:t xml:space="preserve">Global Insurance Market Trends 2024 | OECD </w:t>
          </w:r>
        </w:hyperlink>
      </w:r>
      <w:r>
        <w:br/>
      </w:r>
      <w:r>
        <w:rPr>
          <w:rFonts w:ascii="Calibri" w:hAnsi="Calibri" w:eastAsia="Calibri"/>
          <w:b w:val="0"/>
          <w:i w:val="0"/>
          <w:color w:val="000000"/>
          <w:sz w:val="13"/>
        </w:rPr>
        <w:t>2</w:t>
      </w:r>
      <w:r>
        <w:rPr>
          <w:rFonts w:ascii="Calibri" w:hAnsi="Calibri" w:eastAsia="Calibri"/>
          <w:b w:val="0"/>
          <w:i w:val="0"/>
          <w:color w:val="000000"/>
          <w:sz w:val="20"/>
        </w:rPr>
        <w:t xml:space="preserve"> As a result of this reform, one of the two specialised insurers ceased operations at the beginning of 2024 and </w:t>
      </w:r>
      <w:r>
        <w:rPr>
          <w:rFonts w:ascii="Calibri" w:hAnsi="Calibri" w:eastAsia="Calibri"/>
          <w:b w:val="0"/>
          <w:i w:val="0"/>
          <w:color w:val="000000"/>
          <w:sz w:val="20"/>
        </w:rPr>
        <w:t xml:space="preserve">the remaining specialised insurer shifted its focus towards the marketing of accident and other health </w:t>
      </w:r>
      <w:r>
        <w:rPr>
          <w:rFonts w:ascii="Calibri" w:hAnsi="Calibri" w:eastAsia="Calibri"/>
          <w:b w:val="0"/>
          <w:i w:val="0"/>
          <w:color w:val="000000"/>
          <w:sz w:val="20"/>
        </w:rPr>
        <w:t xml:space="preserve">insurance products. </w:t>
      </w:r>
    </w:p>
    <w:p>
      <w:pPr>
        <w:autoSpaceDN w:val="0"/>
        <w:autoSpaceDE w:val="0"/>
        <w:widowControl/>
        <w:spacing w:line="245" w:lineRule="auto" w:before="28" w:after="0"/>
        <w:ind w:left="0" w:right="288" w:firstLine="0"/>
        <w:jc w:val="left"/>
      </w:pPr>
      <w:r>
        <w:rPr>
          <w:rFonts w:ascii="Calibri" w:hAnsi="Calibri" w:eastAsia="Calibri"/>
          <w:b w:val="0"/>
          <w:i w:val="0"/>
          <w:color w:val="000000"/>
          <w:sz w:val="13"/>
        </w:rPr>
        <w:t>3</w:t>
      </w:r>
      <w:r>
        <w:rPr>
          <w:rFonts w:ascii="Calibri" w:hAnsi="Calibri" w:eastAsia="Calibri"/>
          <w:b w:val="0"/>
          <w:i w:val="0"/>
          <w:color w:val="0000FF"/>
          <w:sz w:val="20"/>
          <w:u w:val="single"/>
        </w:rPr>
        <w:hyperlink r:id="rId19" w:history="1">
          <w:r>
            <w:rPr>
              <w:rStyle w:val="Hyperlink"/>
            </w:rPr>
            <w:t xml:space="preserve">sigma 1/2025: Natural catastrophes: insured losses on trend to USD 145 billion in 2025 | Swiss Re </w:t>
          </w:r>
        </w:hyperlink>
      </w:r>
      <w:r>
        <w:rPr>
          <w:rFonts w:ascii="Calibri" w:hAnsi="Calibri" w:eastAsia="Calibri"/>
          <w:b w:val="0"/>
          <w:i w:val="0"/>
          <w:color w:val="000000"/>
          <w:sz w:val="13"/>
        </w:rPr>
        <w:t>4</w:t>
      </w:r>
      <w:r>
        <w:rPr>
          <w:rFonts w:ascii="Calibri" w:hAnsi="Calibri" w:eastAsia="Calibri"/>
          <w:b w:val="0"/>
          <w:i w:val="0"/>
          <w:color w:val="0000FF"/>
          <w:sz w:val="20"/>
          <w:u w:val="single"/>
        </w:rPr>
        <w:hyperlink r:id="rId20" w:history="1">
          <w:r>
            <w:rPr>
              <w:rStyle w:val="Hyperlink"/>
            </w:rPr>
            <w:t xml:space="preserve">Consumer Prices, OECD - Updated: 5 February 2025 </w:t>
          </w:r>
        </w:hyperlink>
      </w:r>
      <w:r>
        <w:br/>
      </w:r>
      <w:r>
        <w:rPr>
          <w:rFonts w:ascii="Calibri" w:hAnsi="Calibri" w:eastAsia="Calibri"/>
          <w:b w:val="0"/>
          <w:i w:val="0"/>
          <w:color w:val="000000"/>
          <w:sz w:val="13"/>
        </w:rPr>
        <w:t>5</w:t>
      </w:r>
      <w:r>
        <w:rPr>
          <w:rFonts w:ascii="Calibri" w:hAnsi="Calibri" w:eastAsia="Calibri"/>
          <w:b w:val="0"/>
          <w:i w:val="0"/>
          <w:color w:val="000000"/>
          <w:sz w:val="20"/>
        </w:rPr>
        <w:t xml:space="preserve"> See</w:t>
      </w:r>
      <w:r>
        <w:rPr>
          <w:rFonts w:ascii="Calibri" w:hAnsi="Calibri" w:eastAsia="Calibri"/>
          <w:b w:val="0"/>
          <w:i w:val="0"/>
          <w:color w:val="000000"/>
          <w:sz w:val="20"/>
        </w:rPr>
        <w:t xml:space="preserve"> </w:t>
      </w:r>
      <w:r>
        <w:rPr>
          <w:rFonts w:ascii="Calibri" w:hAnsi="Calibri" w:eastAsia="Calibri"/>
          <w:b w:val="0"/>
          <w:i w:val="0"/>
          <w:color w:val="0000FF"/>
          <w:sz w:val="20"/>
          <w:u w:val="single"/>
        </w:rPr>
        <w:hyperlink r:id="rId18" w:history="1">
          <w:r>
            <w:rPr>
              <w:rStyle w:val="Hyperlink"/>
            </w:rPr>
            <w:t>Global Insurance Market Trends 2024 | OECD</w:t>
          </w:r>
        </w:hyperlink>
      </w:r>
      <w:r>
        <w:rPr>
          <w:rFonts w:ascii="Calibri" w:hAnsi="Calibri" w:eastAsia="Calibri"/>
          <w:b w:val="0"/>
          <w:i w:val="0"/>
          <w:color w:val="000000"/>
          <w:sz w:val="20"/>
        </w:rPr>
        <w:t xml:space="preserve"> </w:t>
      </w:r>
      <w:r>
        <w:rPr>
          <w:rFonts w:ascii="Calibri" w:hAnsi="Calibri" w:eastAsia="Calibri"/>
          <w:b w:val="0"/>
          <w:i w:val="0"/>
          <w:color w:val="000000"/>
          <w:sz w:val="20"/>
        </w:rPr>
        <w:t>and</w:t>
      </w:r>
      <w:r>
        <w:rPr>
          <w:rFonts w:ascii="Calibri" w:hAnsi="Calibri" w:eastAsia="Calibri"/>
          <w:b w:val="0"/>
          <w:i w:val="0"/>
          <w:color w:val="000000"/>
          <w:sz w:val="20"/>
        </w:rPr>
        <w:t xml:space="preserve"> </w:t>
      </w:r>
      <w:r>
        <w:rPr>
          <w:rFonts w:ascii="Calibri" w:hAnsi="Calibri" w:eastAsia="Calibri"/>
          <w:b w:val="0"/>
          <w:i w:val="0"/>
          <w:color w:val="0000FF"/>
          <w:sz w:val="20"/>
          <w:u w:val="single"/>
        </w:rPr>
        <w:hyperlink r:id="rId21" w:history="1">
          <w:r>
            <w:rPr>
              <w:rStyle w:val="Hyperlink"/>
            </w:rPr>
            <w:t>Global Insurance Market Trends 2023 | OECD</w:t>
          </w:r>
        </w:hyperlink>
      </w:r>
      <w:r>
        <w:rPr>
          <w:rFonts w:ascii="Calibri" w:hAnsi="Calibri" w:eastAsia="Calibri"/>
          <w:b w:val="0"/>
          <w:i w:val="0"/>
          <w:color w:val="000000"/>
          <w:sz w:val="20"/>
        </w:rPr>
        <w:hyperlink r:id="rId21" w:history="1">
          <w:r>
            <w:rPr>
              <w:rStyle w:val="Hyperlink"/>
            </w:rPr>
            <w:t>.</w:t>
          </w:r>
        </w:hyperlink>
      </w:r>
      <w:r>
        <w:rPr>
          <w:rFonts w:ascii="Calibri" w:hAnsi="Calibri" w:eastAsia="Calibri"/>
          <w:b w:val="0"/>
          <w:i w:val="0"/>
          <w:color w:val="000000"/>
          <w:sz w:val="20"/>
        </w:rPr>
        <w:t xml:space="preserve"> The </w:t>
      </w:r>
      <w:r>
        <w:rPr>
          <w:rFonts w:ascii="Calibri" w:hAnsi="Calibri" w:eastAsia="Calibri"/>
          <w:b w:val="0"/>
          <w:i w:val="0"/>
          <w:color w:val="000000"/>
          <w:sz w:val="20"/>
        </w:rPr>
        <w:t xml:space="preserve">average is calculated over all reporting jurisdictions each year. The number of reporting jurisdictions varies </w:t>
      </w:r>
      <w:r>
        <w:rPr>
          <w:rFonts w:ascii="Calibri" w:hAnsi="Calibri" w:eastAsia="Calibri"/>
          <w:b w:val="0"/>
          <w:i w:val="0"/>
          <w:color w:val="000000"/>
          <w:sz w:val="20"/>
        </w:rPr>
        <w:t xml:space="preserve">every year, distorting the year-over-year comparison. </w:t>
      </w:r>
    </w:p>
    <w:p>
      <w:pPr>
        <w:autoSpaceDN w:val="0"/>
        <w:autoSpaceDE w:val="0"/>
        <w:widowControl/>
        <w:spacing w:line="197" w:lineRule="auto" w:before="382" w:after="0"/>
        <w:ind w:left="0" w:right="0" w:firstLine="0"/>
        <w:jc w:val="center"/>
      </w:pPr>
      <w:r>
        <w:rPr>
          <w:rFonts w:ascii="Calibri" w:hAnsi="Calibri" w:eastAsia="Calibri"/>
          <w:b w:val="0"/>
          <w:i w:val="0"/>
          <w:color w:val="000000"/>
          <w:sz w:val="22"/>
        </w:rPr>
        <w:t xml:space="preserve">3 </w:t>
      </w:r>
    </w:p>
    <w:p>
      <w:pPr>
        <w:sectPr>
          <w:type w:val="continuous"/>
          <w:pgSz w:w="11906" w:h="16841"/>
          <w:pgMar w:top="422" w:right="1336" w:bottom="418" w:left="1440" w:header="720" w:footer="720" w:gutter="0"/>
          <w:cols/>
          <w:docGrid w:linePitch="360"/>
        </w:sectPr>
      </w:pPr>
    </w:p>
    <w:p>
      <w:pPr>
        <w:autoSpaceDN w:val="0"/>
        <w:autoSpaceDE w:val="0"/>
        <w:widowControl/>
        <w:spacing w:line="220" w:lineRule="exact" w:before="0" w:after="404"/>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919480</wp:posOffset>
            </wp:positionH>
            <wp:positionV relativeFrom="page">
              <wp:posOffset>2715260</wp:posOffset>
            </wp:positionV>
            <wp:extent cx="5786120" cy="5725815"/>
            <wp:wrapNone/>
            <wp:docPr id="9" name="Picture 9"/>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786120" cy="5725815"/>
                    </a:xfrm>
                    <a:prstGeom prst="rect"/>
                  </pic:spPr>
                </pic:pic>
              </a:graphicData>
            </a:graphic>
          </wp:anchor>
        </w:drawing>
      </w:r>
    </w:p>
    <w:p>
      <w:pPr>
        <w:sectPr>
          <w:pgSz w:w="11906" w:h="16841"/>
          <w:pgMar w:top="422" w:right="1306" w:bottom="418" w:left="1424" w:header="720" w:footer="720" w:gutter="0"/>
          <w:cols/>
          <w:docGrid w:linePitch="360"/>
        </w:sectPr>
      </w:pPr>
    </w:p>
    <w:p>
      <w:pPr>
        <w:autoSpaceDN w:val="0"/>
        <w:autoSpaceDE w:val="0"/>
        <w:widowControl/>
        <w:spacing w:line="197" w:lineRule="auto" w:before="0" w:after="0"/>
        <w:ind w:left="38" w:right="0" w:firstLine="0"/>
        <w:jc w:val="left"/>
      </w:pPr>
      <w:r>
        <w:rPr>
          <w:rFonts w:ascii="Calibri" w:hAnsi="Calibri" w:eastAsia="Calibri"/>
          <w:b w:val="0"/>
          <w:i w:val="0"/>
          <w:color w:val="000000"/>
          <w:sz w:val="18"/>
        </w:rPr>
        <w:t xml:space="preserve">GLOBAL INSURANCE MARKET TRENDS - PRELIMINARY 2024 DATA </w:t>
      </w:r>
    </w:p>
    <w:p>
      <w:pPr>
        <w:sectPr>
          <w:type w:val="continuous"/>
          <w:pgSz w:w="11906" w:h="16841"/>
          <w:pgMar w:top="422" w:right="1306" w:bottom="418" w:left="1424" w:header="720" w:footer="720" w:gutter="0"/>
          <w:cols w:num="2" w:equalWidth="0">
            <w:col w:w="5994" w:space="0"/>
            <w:col w:w="3182" w:space="0"/>
          </w:cols>
          <w:docGrid w:linePitch="360"/>
        </w:sectPr>
      </w:pPr>
    </w:p>
    <w:p>
      <w:pPr>
        <w:autoSpaceDN w:val="0"/>
        <w:autoSpaceDE w:val="0"/>
        <w:widowControl/>
        <w:spacing w:line="240" w:lineRule="auto" w:before="0" w:after="0"/>
        <w:ind w:left="0" w:right="50" w:firstLine="0"/>
        <w:jc w:val="right"/>
      </w:pPr>
      <w:r>
        <w:drawing>
          <wp:inline xmlns:a="http://schemas.openxmlformats.org/drawingml/2006/main" xmlns:pic="http://schemas.openxmlformats.org/drawingml/2006/picture">
            <wp:extent cx="1266189" cy="294640"/>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266189" cy="294640"/>
                    </a:xfrm>
                    <a:prstGeom prst="rect"/>
                  </pic:spPr>
                </pic:pic>
              </a:graphicData>
            </a:graphic>
          </wp:inline>
        </w:drawing>
      </w:r>
    </w:p>
    <w:p>
      <w:pPr>
        <w:spacing w:after="444"/>
        <w:sectPr>
          <w:type w:val="nextColumn"/>
          <w:pgSz w:w="11906" w:h="16841"/>
          <w:pgMar w:top="422" w:right="1306" w:bottom="418" w:left="1424" w:header="720" w:footer="720" w:gutter="0"/>
          <w:cols w:num="2" w:equalWidth="0">
            <w:col w:w="5994" w:space="0"/>
            <w:col w:w="3182" w:space="0"/>
          </w:cols>
          <w:docGrid w:linePitch="360"/>
        </w:sectPr>
      </w:pPr>
    </w:p>
    <w:p>
      <w:pPr>
        <w:autoSpaceDN w:val="0"/>
        <w:autoSpaceDE w:val="0"/>
        <w:widowControl/>
        <w:spacing w:line="197" w:lineRule="auto" w:before="0" w:after="0"/>
        <w:ind w:left="0" w:right="0" w:firstLine="0"/>
        <w:jc w:val="center"/>
      </w:pPr>
      <w:r>
        <w:rPr>
          <w:rFonts w:ascii="Calibri" w:hAnsi="Calibri" w:eastAsia="Calibri"/>
          <w:b/>
          <w:i w:val="0"/>
          <w:color w:val="365F91"/>
          <w:sz w:val="26"/>
        </w:rPr>
        <w:t xml:space="preserve">A favourable financial market environment boosted demand for life insurance, </w:t>
      </w:r>
    </w:p>
    <w:p>
      <w:pPr>
        <w:autoSpaceDN w:val="0"/>
        <w:autoSpaceDE w:val="0"/>
        <w:widowControl/>
        <w:spacing w:line="197" w:lineRule="auto" w:before="106" w:after="0"/>
        <w:ind w:left="16" w:right="0" w:firstLine="0"/>
        <w:jc w:val="left"/>
      </w:pPr>
      <w:r>
        <w:rPr>
          <w:rFonts w:ascii="Calibri" w:hAnsi="Calibri" w:eastAsia="Calibri"/>
          <w:b/>
          <w:i w:val="0"/>
          <w:color w:val="365F91"/>
          <w:sz w:val="26"/>
        </w:rPr>
        <w:t>increasing premium growth</w:t>
      </w:r>
    </w:p>
    <w:p>
      <w:pPr>
        <w:autoSpaceDN w:val="0"/>
        <w:autoSpaceDE w:val="0"/>
        <w:widowControl/>
        <w:spacing w:line="262" w:lineRule="auto" w:before="296" w:after="60"/>
        <w:ind w:left="16" w:right="86" w:firstLine="0"/>
        <w:jc w:val="both"/>
      </w:pPr>
      <w:r>
        <w:rPr>
          <w:rFonts w:ascii="Calibri" w:hAnsi="Calibri" w:eastAsia="Calibri"/>
          <w:b/>
          <w:i w:val="0"/>
          <w:color w:val="000000"/>
          <w:sz w:val="20"/>
        </w:rPr>
        <w:t xml:space="preserve">The life insurance industry recorded a relatively strong growth of premiums written in 2024. </w:t>
      </w:r>
      <w:r>
        <w:rPr>
          <w:rFonts w:ascii="Calibri" w:hAnsi="Calibri" w:eastAsia="Calibri"/>
          <w:b w:val="0"/>
          <w:i w:val="0"/>
          <w:color w:val="000000"/>
          <w:sz w:val="20"/>
        </w:rPr>
        <w:t xml:space="preserve">Gross written </w:t>
      </w:r>
      <w:r>
        <w:rPr>
          <w:rFonts w:ascii="Calibri" w:hAnsi="Calibri" w:eastAsia="Calibri"/>
          <w:b w:val="0"/>
          <w:i w:val="0"/>
          <w:color w:val="000000"/>
          <w:sz w:val="20"/>
        </w:rPr>
        <w:t xml:space="preserve">premiums increased by an average of 11% in nominal terms, 7.8% in real terms, among 44 reporting jurisdictions </w:t>
      </w:r>
      <w:r>
        <w:rPr>
          <w:rFonts w:ascii="Calibri" w:hAnsi="Calibri" w:eastAsia="Calibri"/>
          <w:b w:val="0"/>
          <w:i w:val="0"/>
          <w:color w:val="000000"/>
          <w:sz w:val="20"/>
        </w:rPr>
        <w:t xml:space="preserve">(Figure 2), exceeding growth in the non-life sector. This increase is faster than last year when it was 6.5% in </w:t>
      </w:r>
      <w:r>
        <w:rPr>
          <w:rFonts w:ascii="Calibri" w:hAnsi="Calibri" w:eastAsia="Calibri"/>
          <w:b w:val="0"/>
          <w:i w:val="0"/>
          <w:color w:val="000000"/>
          <w:sz w:val="20"/>
        </w:rPr>
        <w:t>nominal terms or 0.9% in real terms.</w:t>
      </w:r>
      <w:r>
        <w:rPr>
          <w:rFonts w:ascii="Calibri" w:hAnsi="Calibri" w:eastAsia="Calibri"/>
          <w:b w:val="0"/>
          <w:i w:val="0"/>
          <w:color w:val="000000"/>
          <w:sz w:val="13"/>
        </w:rPr>
        <w:t>6</w:t>
      </w:r>
      <w:r>
        <w:rPr>
          <w:rFonts w:ascii="Calibri" w:hAnsi="Calibri" w:eastAsia="Calibri"/>
          <w:b w:val="0"/>
          <w:i w:val="0"/>
          <w:color w:val="000000"/>
          <w:sz w:val="20"/>
        </w:rPr>
        <w:t xml:space="preserve"> In most jurisdictions, growth in premiums written outstripped growth in </w:t>
      </w:r>
      <w:r>
        <w:rPr>
          <w:rFonts w:ascii="Calibri" w:hAnsi="Calibri" w:eastAsia="Calibri"/>
          <w:b w:val="0"/>
          <w:i w:val="0"/>
          <w:color w:val="000000"/>
          <w:sz w:val="20"/>
        </w:rPr>
        <w:t xml:space="preserve">claims paid. </w:t>
      </w:r>
    </w:p>
    <w:tbl>
      <w:tblPr>
        <w:tblW w:type="auto" w:w="0"/>
        <w:tblLayout w:type="fixed"/>
        <w:tblLook w:firstColumn="1" w:firstRow="1" w:lastColumn="0" w:lastRow="0" w:noHBand="0" w:noVBand="1" w:val="04A0"/>
        <w:tblInd w:w="15.999999999999943" w:type="dxa"/>
      </w:tblPr>
      <w:tblGrid>
        <w:gridCol w:w="9176"/>
      </w:tblGrid>
      <w:tr>
        <w:trPr>
          <w:trHeight w:hRule="exact" w:val="9182"/>
        </w:trPr>
        <w:tc>
          <w:tcPr>
            <w:tcW w:type="dxa" w:w="9124"/>
            <w:tcBorders>
              <w:start w:sz="12.0" w:val="single" w:color="#CBCCCB"/>
              <w:top w:sz="12.0" w:val="single" w:color="#CBCCCB"/>
              <w:end w:sz="12.0" w:val="single" w:color="#CBCCCB"/>
              <w:bottom w:sz="12.0" w:val="single" w:color="#CBCCCB"/>
            </w:tcBorders>
            <w:shd w:fill="ffffff"/>
            <w:tcMar>
              <w:start w:w="0" w:type="dxa"/>
              <w:end w:w="0" w:type="dxa"/>
            </w:tcMar>
          </w:tcPr>
          <w:p>
            <w:pPr>
              <w:autoSpaceDN w:val="0"/>
              <w:autoSpaceDE w:val="0"/>
              <w:widowControl/>
              <w:spacing w:line="184" w:lineRule="exact" w:before="192" w:after="0"/>
              <w:ind w:left="144" w:right="144" w:firstLine="0"/>
              <w:jc w:val="center"/>
            </w:pPr>
            <w:r>
              <w:rPr>
                <w:rFonts w:ascii="Arial" w:hAnsi="Arial" w:eastAsia="Arial"/>
                <w:b/>
                <w:i w:val="0"/>
                <w:color w:val="000000"/>
                <w:sz w:val="16"/>
              </w:rPr>
              <w:t xml:space="preserve">Figure 2. Annual growth rates of direct gross premiums written and claims paid by domestic insurance companies </w:t>
            </w:r>
            <w:r>
              <w:rPr>
                <w:rFonts w:ascii="Arial" w:hAnsi="Arial" w:eastAsia="Arial"/>
                <w:b/>
                <w:i w:val="0"/>
                <w:color w:val="000000"/>
                <w:sz w:val="16"/>
              </w:rPr>
              <w:t xml:space="preserve">in the life sector in 2024 (preliminary) </w:t>
            </w:r>
          </w:p>
          <w:p>
            <w:pPr>
              <w:autoSpaceDN w:val="0"/>
              <w:autoSpaceDE w:val="0"/>
              <w:widowControl/>
              <w:spacing w:line="168" w:lineRule="exact" w:before="126" w:after="0"/>
              <w:ind w:left="0" w:right="0" w:firstLine="0"/>
              <w:jc w:val="center"/>
            </w:pPr>
            <w:r>
              <w:rPr>
                <w:rFonts w:ascii="ArialMT" w:hAnsi="ArialMT" w:eastAsia="ArialMT"/>
                <w:b w:val="0"/>
                <w:i w:val="0"/>
                <w:color w:val="000000"/>
                <w:sz w:val="15"/>
              </w:rPr>
              <w:t xml:space="preserve">In per cent </w:t>
            </w:r>
          </w:p>
          <w:p>
            <w:pPr>
              <w:autoSpaceDN w:val="0"/>
              <w:autoSpaceDE w:val="0"/>
              <w:widowControl/>
              <w:spacing w:line="158" w:lineRule="exact" w:before="7892" w:after="0"/>
              <w:ind w:left="1376" w:right="4320" w:firstLine="0"/>
              <w:jc w:val="left"/>
            </w:pPr>
            <w:r>
              <w:rPr>
                <w:rFonts w:ascii="ArialMT" w:hAnsi="ArialMT" w:eastAsia="ArialMT"/>
                <w:b w:val="0"/>
                <w:i w:val="0"/>
                <w:color w:val="000000"/>
                <w:sz w:val="12"/>
              </w:rPr>
              <w:t xml:space="preserve">Notes: See the end of this factsheet for methodological notes. </w:t>
            </w:r>
            <w:r>
              <w:br/>
            </w:r>
            <w:r>
              <w:rPr>
                <w:rFonts w:ascii="ArialMT" w:hAnsi="ArialMT" w:eastAsia="ArialMT"/>
                <w:b w:val="0"/>
                <w:i w:val="0"/>
                <w:color w:val="000000"/>
                <w:sz w:val="12"/>
              </w:rPr>
              <w:t xml:space="preserve">Source: OECD Global Insurance Statistics. </w:t>
            </w:r>
          </w:p>
        </w:tc>
      </w:tr>
    </w:tbl>
    <w:p>
      <w:pPr>
        <w:autoSpaceDN w:val="0"/>
        <w:autoSpaceDE w:val="0"/>
        <w:widowControl/>
        <w:spacing w:line="257" w:lineRule="auto" w:before="150" w:after="0"/>
        <w:ind w:left="16" w:right="88" w:firstLine="0"/>
        <w:jc w:val="both"/>
      </w:pPr>
      <w:r>
        <w:rPr>
          <w:rFonts w:ascii="Calibri" w:hAnsi="Calibri" w:eastAsia="Calibri"/>
          <w:b/>
          <w:i w:val="0"/>
          <w:color w:val="000000"/>
          <w:sz w:val="20"/>
        </w:rPr>
        <w:t xml:space="preserve">Higher interest rates have supported the premium growth of life insurance policies providing guarantees to </w:t>
      </w:r>
      <w:r>
        <w:rPr>
          <w:rFonts w:ascii="Calibri" w:hAnsi="Calibri" w:eastAsia="Calibri"/>
          <w:b/>
          <w:i w:val="0"/>
          <w:color w:val="000000"/>
          <w:sz w:val="20"/>
        </w:rPr>
        <w:t>policyholders.</w:t>
      </w:r>
      <w:r>
        <w:rPr>
          <w:rFonts w:ascii="Calibri" w:hAnsi="Calibri" w:eastAsia="Calibri"/>
          <w:b w:val="0"/>
          <w:i w:val="0"/>
          <w:color w:val="000000"/>
          <w:sz w:val="20"/>
        </w:rPr>
        <w:t xml:space="preserve"> Central banks started increasing short-term policy rates in 2022 (e.g. the Federal Reserve and the </w:t>
      </w:r>
      <w:r>
        <w:rPr>
          <w:rFonts w:ascii="Calibri" w:hAnsi="Calibri" w:eastAsia="Calibri"/>
          <w:b w:val="0"/>
          <w:i w:val="0"/>
          <w:color w:val="000000"/>
          <w:sz w:val="20"/>
        </w:rPr>
        <w:t xml:space="preserve">European Central Bank) to curb inflationary pressures. While these rates started to decline in most of the largest </w:t>
      </w:r>
      <w:r>
        <w:rPr>
          <w:rFonts w:ascii="Calibri" w:hAnsi="Calibri" w:eastAsia="Calibri"/>
          <w:b w:val="0"/>
          <w:i w:val="0"/>
          <w:color w:val="000000"/>
          <w:sz w:val="20"/>
        </w:rPr>
        <w:t>OECD countries around mid-2024, they remained near recent peaks for about half of 2024.</w:t>
      </w:r>
      <w:r>
        <w:rPr>
          <w:rFonts w:ascii="Calibri" w:hAnsi="Calibri" w:eastAsia="Calibri"/>
          <w:b w:val="0"/>
          <w:i w:val="0"/>
          <w:color w:val="000000"/>
          <w:sz w:val="13"/>
        </w:rPr>
        <w:t>7</w:t>
      </w:r>
      <w:r>
        <w:rPr>
          <w:rFonts w:ascii="Calibri" w:hAnsi="Calibri" w:eastAsia="Calibri"/>
          <w:b w:val="0"/>
          <w:i w:val="0"/>
          <w:color w:val="000000"/>
          <w:sz w:val="20"/>
        </w:rPr>
        <w:t xml:space="preserve"> These higher rates </w:t>
      </w:r>
    </w:p>
    <w:p>
      <w:pPr>
        <w:autoSpaceDN w:val="0"/>
        <w:autoSpaceDE w:val="0"/>
        <w:widowControl/>
        <w:spacing w:line="245" w:lineRule="auto" w:before="484" w:after="0"/>
        <w:ind w:left="16" w:right="5328" w:firstLine="0"/>
        <w:jc w:val="left"/>
      </w:pPr>
      <w:r>
        <w:rPr>
          <w:rFonts w:ascii="Calibri" w:hAnsi="Calibri" w:eastAsia="Calibri"/>
          <w:b w:val="0"/>
          <w:i w:val="0"/>
          <w:color w:val="000000"/>
          <w:sz w:val="13"/>
        </w:rPr>
        <w:t>6</w:t>
      </w:r>
      <w:r>
        <w:rPr>
          <w:rFonts w:ascii="Calibri" w:hAnsi="Calibri" w:eastAsia="Calibri"/>
          <w:b w:val="0"/>
          <w:i w:val="0"/>
          <w:color w:val="0000FF"/>
          <w:sz w:val="20"/>
          <w:u w:val="single"/>
        </w:rPr>
        <w:hyperlink r:id="rId18" w:history="1">
          <w:r>
            <w:rPr>
              <w:rStyle w:val="Hyperlink"/>
            </w:rPr>
            <w:t xml:space="preserve">Global Insurance Market Trends 2024 | OECD </w:t>
          </w:r>
        </w:hyperlink>
      </w:r>
      <w:r>
        <w:br/>
      </w:r>
      <w:r>
        <w:rPr>
          <w:rFonts w:ascii="Calibri" w:hAnsi="Calibri" w:eastAsia="Calibri"/>
          <w:b w:val="0"/>
          <w:i w:val="0"/>
          <w:color w:val="000000"/>
          <w:sz w:val="13"/>
        </w:rPr>
        <w:t>7</w:t>
      </w:r>
      <w:r>
        <w:rPr>
          <w:rFonts w:ascii="Calibri" w:hAnsi="Calibri" w:eastAsia="Calibri"/>
          <w:b w:val="0"/>
          <w:i w:val="0"/>
          <w:color w:val="0000FF"/>
          <w:sz w:val="20"/>
          <w:u w:val="single"/>
        </w:rPr>
        <w:hyperlink r:id="rId22" w:history="1">
          <w:r>
            <w:rPr>
              <w:rStyle w:val="Hyperlink"/>
            </w:rPr>
            <w:t>Global Debt Report 2025 | OECD</w:t>
          </w:r>
        </w:hyperlink>
      </w:r>
    </w:p>
    <w:p>
      <w:pPr>
        <w:autoSpaceDN w:val="0"/>
        <w:autoSpaceDE w:val="0"/>
        <w:widowControl/>
        <w:spacing w:line="197" w:lineRule="auto" w:before="382" w:after="0"/>
        <w:ind w:left="0" w:right="0" w:firstLine="0"/>
        <w:jc w:val="center"/>
      </w:pPr>
      <w:r>
        <w:rPr>
          <w:rFonts w:ascii="Calibri" w:hAnsi="Calibri" w:eastAsia="Calibri"/>
          <w:b w:val="0"/>
          <w:i w:val="0"/>
          <w:color w:val="000000"/>
          <w:sz w:val="22"/>
        </w:rPr>
        <w:t xml:space="preserve">4 </w:t>
      </w:r>
    </w:p>
    <w:p>
      <w:pPr>
        <w:sectPr>
          <w:type w:val="continuous"/>
          <w:pgSz w:w="11906" w:h="16841"/>
          <w:pgMar w:top="422" w:right="1306" w:bottom="418" w:left="1424" w:header="720" w:footer="720" w:gutter="0"/>
          <w:cols/>
          <w:docGrid w:linePitch="360"/>
        </w:sectPr>
      </w:pPr>
    </w:p>
    <w:p>
      <w:pPr>
        <w:autoSpaceDN w:val="0"/>
        <w:autoSpaceDE w:val="0"/>
        <w:widowControl/>
        <w:spacing w:line="220" w:lineRule="exact" w:before="0" w:after="404"/>
        <w:ind w:left="0" w:right="0"/>
      </w:pPr>
    </w:p>
    <w:p>
      <w:pPr>
        <w:sectPr>
          <w:pgSz w:w="11906" w:h="16841"/>
          <w:pgMar w:top="422" w:right="1336" w:bottom="418" w:left="1440" w:header="720" w:footer="720" w:gutter="0"/>
          <w:cols/>
          <w:docGrid w:linePitch="360"/>
        </w:sectPr>
      </w:pPr>
    </w:p>
    <w:p>
      <w:pPr>
        <w:autoSpaceDN w:val="0"/>
        <w:autoSpaceDE w:val="0"/>
        <w:widowControl/>
        <w:spacing w:line="197" w:lineRule="auto" w:before="0" w:after="0"/>
        <w:ind w:left="22" w:right="0" w:firstLine="0"/>
        <w:jc w:val="left"/>
      </w:pPr>
      <w:r>
        <w:rPr>
          <w:rFonts w:ascii="Calibri" w:hAnsi="Calibri" w:eastAsia="Calibri"/>
          <w:b w:val="0"/>
          <w:i w:val="0"/>
          <w:color w:val="000000"/>
          <w:sz w:val="18"/>
        </w:rPr>
        <w:t xml:space="preserve">GLOBAL INSURANCE MARKET TRENDS - PRELIMINARY 2024 DATA </w:t>
      </w:r>
    </w:p>
    <w:p>
      <w:pPr>
        <w:sectPr>
          <w:type w:val="continuous"/>
          <w:pgSz w:w="11906" w:h="16841"/>
          <w:pgMar w:top="422" w:right="1336" w:bottom="418" w:left="1440" w:header="720" w:footer="720" w:gutter="0"/>
          <w:cols w:num="2" w:equalWidth="0">
            <w:col w:w="5978" w:space="0"/>
            <w:col w:w="3152" w:space="0"/>
          </w:cols>
          <w:docGrid w:linePitch="360"/>
        </w:sectPr>
      </w:pPr>
    </w:p>
    <w:p>
      <w:pPr>
        <w:autoSpaceDN w:val="0"/>
        <w:autoSpaceDE w:val="0"/>
        <w:widowControl/>
        <w:spacing w:line="240" w:lineRule="auto" w:before="0" w:after="0"/>
        <w:ind w:left="0" w:right="20" w:firstLine="0"/>
        <w:jc w:val="right"/>
      </w:pPr>
      <w:r>
        <w:drawing>
          <wp:inline xmlns:a="http://schemas.openxmlformats.org/drawingml/2006/main" xmlns:pic="http://schemas.openxmlformats.org/drawingml/2006/picture">
            <wp:extent cx="1266189" cy="294640"/>
            <wp:docPr id="10" name="Picture 10"/>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266189" cy="294640"/>
                    </a:xfrm>
                    <a:prstGeom prst="rect"/>
                  </pic:spPr>
                </pic:pic>
              </a:graphicData>
            </a:graphic>
          </wp:inline>
        </w:drawing>
      </w:r>
    </w:p>
    <w:p>
      <w:pPr>
        <w:spacing w:after="434"/>
        <w:sectPr>
          <w:type w:val="nextColumn"/>
          <w:pgSz w:w="11906" w:h="16841"/>
          <w:pgMar w:top="422" w:right="1336" w:bottom="418" w:left="1440" w:header="720" w:footer="720" w:gutter="0"/>
          <w:cols w:num="2" w:equalWidth="0">
            <w:col w:w="5978" w:space="0"/>
            <w:col w:w="3152" w:space="0"/>
          </w:cols>
          <w:docGrid w:linePitch="360"/>
        </w:sectPr>
      </w:pPr>
    </w:p>
    <w:p>
      <w:pPr>
        <w:autoSpaceDN w:val="0"/>
        <w:autoSpaceDE w:val="0"/>
        <w:widowControl/>
        <w:spacing w:line="257" w:lineRule="auto" w:before="0" w:after="0"/>
        <w:ind w:left="0" w:right="56" w:firstLine="0"/>
        <w:jc w:val="both"/>
      </w:pPr>
      <w:r>
        <w:rPr>
          <w:rFonts w:ascii="Calibri" w:hAnsi="Calibri" w:eastAsia="Calibri"/>
          <w:b w:val="0"/>
          <w:i w:val="0"/>
          <w:color w:val="000000"/>
          <w:sz w:val="20"/>
        </w:rPr>
        <w:t xml:space="preserve">enabled insurers to provide higher returns to policyholders. For example, the French insurance supervisor </w:t>
      </w:r>
      <w:r>
        <w:rPr>
          <w:rFonts w:ascii="Calibri" w:hAnsi="Calibri" w:eastAsia="Calibri"/>
          <w:b w:val="0"/>
          <w:i w:val="0"/>
          <w:color w:val="000000"/>
          <w:sz w:val="20"/>
        </w:rPr>
        <w:t xml:space="preserve">estimates that insurers could provide a 2.6% return, including a minimum guarantee and participation in profits, </w:t>
      </w:r>
      <w:r>
        <w:rPr>
          <w:rFonts w:ascii="Calibri" w:hAnsi="Calibri" w:eastAsia="Calibri"/>
          <w:b w:val="0"/>
          <w:i w:val="0"/>
          <w:color w:val="000000"/>
          <w:sz w:val="20"/>
        </w:rPr>
        <w:t xml:space="preserve">on euro-denominated non-unit-linked policies, similar to 2023 and above the average returns over the last ten </w:t>
      </w:r>
      <w:r>
        <w:rPr>
          <w:rFonts w:ascii="Calibri" w:hAnsi="Calibri" w:eastAsia="Calibri"/>
          <w:b w:val="0"/>
          <w:i w:val="0"/>
          <w:color w:val="000000"/>
          <w:sz w:val="20"/>
        </w:rPr>
        <w:t>years.</w:t>
      </w:r>
      <w:r>
        <w:rPr>
          <w:rFonts w:ascii="Calibri" w:hAnsi="Calibri" w:eastAsia="Calibri"/>
          <w:b w:val="0"/>
          <w:i w:val="0"/>
          <w:color w:val="000000"/>
          <w:sz w:val="13"/>
        </w:rPr>
        <w:t>8</w:t>
      </w:r>
      <w:r>
        <w:rPr>
          <w:rFonts w:ascii="Calibri" w:hAnsi="Calibri" w:eastAsia="Calibri"/>
          <w:b w:val="0"/>
          <w:i w:val="0"/>
          <w:color w:val="000000"/>
          <w:sz w:val="20"/>
        </w:rPr>
        <w:t xml:space="preserve"> Higher returns can make these life insurance policies more appealing to customers. </w:t>
      </w:r>
    </w:p>
    <w:p>
      <w:pPr>
        <w:autoSpaceDN w:val="0"/>
        <w:autoSpaceDE w:val="0"/>
        <w:widowControl/>
        <w:spacing w:line="266" w:lineRule="auto" w:before="284" w:after="0"/>
        <w:ind w:left="0" w:right="0" w:firstLine="0"/>
        <w:jc w:val="left"/>
      </w:pPr>
      <w:r>
        <w:rPr>
          <w:rFonts w:ascii="Calibri" w:hAnsi="Calibri" w:eastAsia="Calibri"/>
          <w:b/>
          <w:i w:val="0"/>
          <w:color w:val="000000"/>
          <w:sz w:val="20"/>
        </w:rPr>
        <w:t>The strong performance of equity markets in 2023 and 2024 appears to have attracted greater interest in unit-</w:t>
      </w:r>
      <w:r>
        <w:rPr>
          <w:rFonts w:ascii="Calibri" w:hAnsi="Calibri" w:eastAsia="Calibri"/>
          <w:b/>
          <w:i w:val="0"/>
          <w:color w:val="000000"/>
          <w:sz w:val="20"/>
        </w:rPr>
        <w:t>linked products.</w:t>
      </w:r>
      <w:r>
        <w:rPr>
          <w:rFonts w:ascii="Calibri" w:hAnsi="Calibri" w:eastAsia="Calibri"/>
          <w:b w:val="0"/>
          <w:i w:val="0"/>
          <w:color w:val="000000"/>
          <w:sz w:val="20"/>
        </w:rPr>
        <w:t xml:space="preserve"> Holders of unit-linked contracts can choose the investment strategy and take on more risks to </w:t>
      </w:r>
      <w:r>
        <w:rPr>
          <w:rFonts w:ascii="Calibri" w:hAnsi="Calibri" w:eastAsia="Calibri"/>
          <w:b w:val="0"/>
          <w:i w:val="0"/>
          <w:color w:val="000000"/>
          <w:sz w:val="20"/>
        </w:rPr>
        <w:t xml:space="preserve">achieve higher returns. As such, unit-linked products would typically provide some exposure to equities. Global </w:t>
      </w:r>
      <w:r>
        <w:rPr>
          <w:rFonts w:ascii="Calibri" w:hAnsi="Calibri" w:eastAsia="Calibri"/>
          <w:b w:val="0"/>
          <w:i w:val="0"/>
          <w:color w:val="000000"/>
          <w:sz w:val="20"/>
        </w:rPr>
        <w:t xml:space="preserve">equity markets posted strong returns both in 2023 and 2024, with the MSCI World Index growing by 24.4% in </w:t>
      </w:r>
      <w:r>
        <w:rPr>
          <w:rFonts w:ascii="Calibri" w:hAnsi="Calibri" w:eastAsia="Calibri"/>
          <w:b w:val="0"/>
          <w:i w:val="0"/>
          <w:color w:val="000000"/>
          <w:sz w:val="20"/>
        </w:rPr>
        <w:t>2023 and 19.2% in 2024.</w:t>
      </w:r>
      <w:r>
        <w:rPr>
          <w:rFonts w:ascii="Calibri" w:hAnsi="Calibri" w:eastAsia="Calibri"/>
          <w:b w:val="0"/>
          <w:i w:val="0"/>
          <w:color w:val="000000"/>
          <w:sz w:val="13"/>
        </w:rPr>
        <w:t>9</w:t>
      </w:r>
      <w:r>
        <w:rPr>
          <w:rFonts w:ascii="Calibri" w:hAnsi="Calibri" w:eastAsia="Calibri"/>
          <w:b w:val="0"/>
          <w:i w:val="0"/>
          <w:color w:val="000000"/>
          <w:sz w:val="20"/>
        </w:rPr>
        <w:t xml:space="preserve"> These positive developments contributed to the relative strong returns that unit-linked </w:t>
      </w:r>
      <w:r>
        <w:rPr>
          <w:rFonts w:ascii="Calibri" w:hAnsi="Calibri" w:eastAsia="Calibri"/>
          <w:b w:val="0"/>
          <w:i w:val="0"/>
          <w:color w:val="000000"/>
          <w:sz w:val="20"/>
        </w:rPr>
        <w:t xml:space="preserve">products delivered. Potential prospects of gain have likely increased consumer interest in these products. </w:t>
      </w:r>
      <w:r>
        <w:rPr>
          <w:rFonts w:ascii="Calibri" w:hAnsi="Calibri" w:eastAsia="Calibri"/>
          <w:b w:val="0"/>
          <w:i w:val="0"/>
          <w:color w:val="000000"/>
          <w:sz w:val="20"/>
        </w:rPr>
        <w:t xml:space="preserve">Several jurisdictions (e.g. Belgium, Finland, Lithuania, Portugal, Romania) attributed the growth in gross </w:t>
      </w:r>
      <w:r>
        <w:rPr>
          <w:rFonts w:ascii="Calibri" w:hAnsi="Calibri" w:eastAsia="Calibri"/>
          <w:b w:val="0"/>
          <w:i w:val="0"/>
          <w:color w:val="000000"/>
          <w:sz w:val="20"/>
        </w:rPr>
        <w:t xml:space="preserve">premiums written to increased interest for unit-linked products. </w:t>
      </w:r>
    </w:p>
    <w:p>
      <w:pPr>
        <w:autoSpaceDN w:val="0"/>
        <w:autoSpaceDE w:val="0"/>
        <w:widowControl/>
        <w:spacing w:line="269" w:lineRule="auto" w:before="284" w:after="0"/>
        <w:ind w:left="0" w:right="56" w:firstLine="0"/>
        <w:jc w:val="both"/>
      </w:pPr>
      <w:r>
        <w:rPr>
          <w:rFonts w:ascii="Calibri" w:hAnsi="Calibri" w:eastAsia="Calibri"/>
          <w:b/>
          <w:i w:val="0"/>
          <w:color w:val="000000"/>
          <w:sz w:val="20"/>
        </w:rPr>
        <w:t>Some regulatory developments have also had effects on the take-up of life insurance policies</w:t>
      </w:r>
      <w:r>
        <w:rPr>
          <w:rFonts w:ascii="Calibri" w:hAnsi="Calibri" w:eastAsia="Calibri"/>
          <w:b w:val="0"/>
          <w:i w:val="0"/>
          <w:color w:val="000000"/>
          <w:sz w:val="20"/>
        </w:rPr>
        <w:t xml:space="preserve">, and thus </w:t>
      </w:r>
      <w:r>
        <w:rPr>
          <w:rFonts w:ascii="Calibri" w:hAnsi="Calibri" w:eastAsia="Calibri"/>
          <w:b w:val="0"/>
          <w:i w:val="0"/>
          <w:color w:val="000000"/>
          <w:sz w:val="20"/>
        </w:rPr>
        <w:t xml:space="preserve">premium growth. In the Netherlands, the New Pension Act led some pension funds to transfer their portfolios </w:t>
      </w:r>
      <w:r>
        <w:rPr>
          <w:rFonts w:ascii="Calibri" w:hAnsi="Calibri" w:eastAsia="Calibri"/>
          <w:b w:val="0"/>
          <w:i w:val="0"/>
          <w:color w:val="000000"/>
          <w:sz w:val="20"/>
        </w:rPr>
        <w:t>to life insurers through buy-outs, accounting for the positive growth in life premiums in 2024.</w:t>
      </w:r>
      <w:r>
        <w:rPr>
          <w:rFonts w:ascii="Calibri" w:hAnsi="Calibri" w:eastAsia="Calibri"/>
          <w:b w:val="0"/>
          <w:i w:val="0"/>
          <w:color w:val="000000"/>
          <w:sz w:val="13"/>
        </w:rPr>
        <w:t>10</w:t>
      </w:r>
      <w:r>
        <w:rPr>
          <w:rFonts w:ascii="Calibri" w:hAnsi="Calibri" w:eastAsia="Calibri"/>
          <w:b w:val="0"/>
          <w:i w:val="0"/>
          <w:color w:val="000000"/>
          <w:sz w:val="20"/>
        </w:rPr>
        <w:t xml:space="preserve"> In Uruguay, </w:t>
      </w:r>
      <w:r>
        <w:rPr>
          <w:rFonts w:ascii="Calibri" w:hAnsi="Calibri" w:eastAsia="Calibri"/>
          <w:b w:val="0"/>
          <w:i w:val="0"/>
          <w:color w:val="000000"/>
          <w:sz w:val="20"/>
        </w:rPr>
        <w:t xml:space="preserve">annuity premiums soared in 2024 in the context of a potential reform of the asset-backed pension system, </w:t>
      </w:r>
      <w:r>
        <w:rPr>
          <w:rFonts w:ascii="Calibri" w:hAnsi="Calibri" w:eastAsia="Calibri"/>
          <w:b w:val="0"/>
          <w:i w:val="0"/>
          <w:color w:val="000000"/>
          <w:sz w:val="20"/>
        </w:rPr>
        <w:t xml:space="preserve">contributing to the 55.7% nominal increase in premiums and 47.6% in real terms, the largest increase in life </w:t>
      </w:r>
      <w:r>
        <w:rPr>
          <w:rFonts w:ascii="Calibri" w:hAnsi="Calibri" w:eastAsia="Calibri"/>
          <w:b w:val="0"/>
          <w:i w:val="0"/>
          <w:color w:val="000000"/>
          <w:sz w:val="20"/>
        </w:rPr>
        <w:t xml:space="preserve">premiums among 44 reporting jurisdictions. In Israel, following a recent government ordinance, individuals may </w:t>
      </w:r>
      <w:r>
        <w:rPr>
          <w:rFonts w:ascii="Calibri" w:hAnsi="Calibri" w:eastAsia="Calibri"/>
          <w:b w:val="0"/>
          <w:i w:val="0"/>
          <w:color w:val="000000"/>
          <w:sz w:val="20"/>
        </w:rPr>
        <w:t xml:space="preserve">contribute to long-term savings insurance policies only on the portion of their salary that exceeds twice the </w:t>
      </w:r>
      <w:r>
        <w:rPr>
          <w:rFonts w:ascii="Calibri" w:hAnsi="Calibri" w:eastAsia="Calibri"/>
          <w:b w:val="0"/>
          <w:i w:val="0"/>
          <w:color w:val="000000"/>
          <w:sz w:val="20"/>
        </w:rPr>
        <w:t xml:space="preserve">average wage. Contributions on the portion of salary below this threshold must be invested in a pension fund. </w:t>
      </w:r>
      <w:r>
        <w:rPr>
          <w:rFonts w:ascii="Calibri" w:hAnsi="Calibri" w:eastAsia="Calibri"/>
          <w:b w:val="0"/>
          <w:i w:val="0"/>
          <w:color w:val="000000"/>
          <w:sz w:val="20"/>
        </w:rPr>
        <w:t xml:space="preserve">This reform contributed to the 15.9% decline in life premiums in nominal terms. </w:t>
      </w:r>
    </w:p>
    <w:p>
      <w:pPr>
        <w:autoSpaceDN w:val="0"/>
        <w:autoSpaceDE w:val="0"/>
        <w:widowControl/>
        <w:spacing w:line="257" w:lineRule="auto" w:before="284" w:after="0"/>
        <w:ind w:left="0" w:right="58" w:firstLine="0"/>
        <w:jc w:val="both"/>
      </w:pPr>
      <w:r>
        <w:rPr>
          <w:rFonts w:ascii="Calibri" w:hAnsi="Calibri" w:eastAsia="Calibri"/>
          <w:b w:val="0"/>
          <w:i w:val="0"/>
          <w:color w:val="000000"/>
          <w:sz w:val="20"/>
        </w:rPr>
        <w:t>Like in the non-life sector,</w:t>
      </w:r>
      <w:r>
        <w:rPr>
          <w:rFonts w:ascii="Calibri" w:hAnsi="Calibri" w:eastAsia="Calibri"/>
          <w:b/>
          <w:i w:val="0"/>
          <w:color w:val="000000"/>
          <w:sz w:val="20"/>
        </w:rPr>
        <w:t xml:space="preserve"> the evolution in the number of life insurance policies can affect the payouts of </w:t>
      </w:r>
      <w:r>
        <w:rPr>
          <w:rFonts w:ascii="Calibri" w:hAnsi="Calibri" w:eastAsia="Calibri"/>
          <w:b/>
          <w:i w:val="0"/>
          <w:color w:val="000000"/>
          <w:sz w:val="20"/>
        </w:rPr>
        <w:t>insurers</w:t>
      </w:r>
      <w:r>
        <w:rPr>
          <w:rFonts w:ascii="Calibri" w:hAnsi="Calibri" w:eastAsia="Calibri"/>
          <w:b w:val="0"/>
          <w:i w:val="0"/>
          <w:color w:val="000000"/>
          <w:sz w:val="20"/>
        </w:rPr>
        <w:t xml:space="preserve">. For example, Chile attributes the growth in payouts to the increase in the sales of annuities in 2024, </w:t>
      </w:r>
      <w:r>
        <w:rPr>
          <w:rFonts w:ascii="Calibri" w:hAnsi="Calibri" w:eastAsia="Calibri"/>
          <w:b w:val="0"/>
          <w:i w:val="0"/>
          <w:color w:val="000000"/>
          <w:sz w:val="20"/>
        </w:rPr>
        <w:t xml:space="preserve">translating into more pension payments in 2024 than in 2023. Likewise, the increase in the sales of annuities in </w:t>
      </w:r>
      <w:r>
        <w:rPr>
          <w:rFonts w:ascii="Calibri" w:hAnsi="Calibri" w:eastAsia="Calibri"/>
          <w:b w:val="0"/>
          <w:i w:val="0"/>
          <w:color w:val="000000"/>
          <w:sz w:val="20"/>
        </w:rPr>
        <w:t xml:space="preserve">Uruguay likely contributed to the large growth in payouts in 2024. </w:t>
      </w:r>
    </w:p>
    <w:p>
      <w:pPr>
        <w:autoSpaceDN w:val="0"/>
        <w:autoSpaceDE w:val="0"/>
        <w:widowControl/>
        <w:spacing w:line="271" w:lineRule="auto" w:before="284" w:after="0"/>
        <w:ind w:left="0" w:right="56" w:firstLine="0"/>
        <w:jc w:val="both"/>
      </w:pPr>
      <w:r>
        <w:rPr>
          <w:rFonts w:ascii="Calibri" w:hAnsi="Calibri" w:eastAsia="Calibri"/>
          <w:b/>
          <w:i w:val="0"/>
          <w:color w:val="000000"/>
          <w:sz w:val="20"/>
        </w:rPr>
        <w:t>The growth in life payouts varied across responding jurisdictions</w:t>
      </w:r>
      <w:r>
        <w:rPr>
          <w:rFonts w:ascii="Calibri" w:hAnsi="Calibri" w:eastAsia="Calibri"/>
          <w:b w:val="0"/>
          <w:i w:val="0"/>
          <w:color w:val="000000"/>
          <w:sz w:val="20"/>
        </w:rPr>
        <w:t xml:space="preserve">. Different reasons could account for the </w:t>
      </w:r>
      <w:r>
        <w:rPr>
          <w:rFonts w:ascii="Calibri" w:hAnsi="Calibri" w:eastAsia="Calibri"/>
          <w:b w:val="0"/>
          <w:i w:val="0"/>
          <w:color w:val="000000"/>
          <w:sz w:val="20"/>
        </w:rPr>
        <w:t xml:space="preserve">decline in payouts depending on the jurisdiction and life insurance policies. For example, the 20.4% decline in </w:t>
      </w:r>
      <w:r>
        <w:rPr>
          <w:rFonts w:ascii="Calibri" w:hAnsi="Calibri" w:eastAsia="Calibri"/>
          <w:b w:val="0"/>
          <w:i w:val="0"/>
          <w:color w:val="000000"/>
          <w:sz w:val="20"/>
        </w:rPr>
        <w:t xml:space="preserve">life payouts for Latvian insurers was partly due to income tax being introduced on payouts from cross-border </w:t>
      </w:r>
      <w:r>
        <w:rPr>
          <w:rFonts w:ascii="Calibri" w:hAnsi="Calibri" w:eastAsia="Calibri"/>
          <w:b w:val="0"/>
          <w:i w:val="0"/>
          <w:color w:val="000000"/>
          <w:sz w:val="20"/>
        </w:rPr>
        <w:t xml:space="preserve">unit-linked insurance business in Estonia, which came into effect on 1 January 2024. This prompted a surge in </w:t>
      </w:r>
      <w:r>
        <w:rPr>
          <w:rFonts w:ascii="Calibri" w:hAnsi="Calibri" w:eastAsia="Calibri"/>
          <w:b w:val="0"/>
          <w:i w:val="0"/>
          <w:color w:val="000000"/>
          <w:sz w:val="20"/>
        </w:rPr>
        <w:t xml:space="preserve">claims in 2023, as policyholders in Estonia sought to access their funds before the new tax rules came into effect. </w:t>
      </w:r>
      <w:r>
        <w:rPr>
          <w:rFonts w:ascii="Calibri" w:hAnsi="Calibri" w:eastAsia="Calibri"/>
          <w:b w:val="0"/>
          <w:i w:val="0"/>
          <w:color w:val="000000"/>
          <w:sz w:val="20"/>
        </w:rPr>
        <w:t xml:space="preserve">Payouts then returned to lower levels for the cross-border business of Latvian insurers in 2024. France noted a </w:t>
      </w:r>
      <w:r>
        <w:rPr>
          <w:rFonts w:ascii="Calibri" w:hAnsi="Calibri" w:eastAsia="Calibri"/>
          <w:b w:val="0"/>
          <w:i w:val="0"/>
          <w:color w:val="000000"/>
          <w:sz w:val="20"/>
        </w:rPr>
        <w:t xml:space="preserve">decline in surrenders of some life insurance policies, which also contributed to reduced payouts by insurers. </w:t>
      </w:r>
      <w:r>
        <w:rPr>
          <w:rFonts w:ascii="Calibri" w:hAnsi="Calibri" w:eastAsia="Calibri"/>
          <w:b w:val="0"/>
          <w:i w:val="0"/>
          <w:color w:val="000000"/>
          <w:sz w:val="20"/>
        </w:rPr>
        <w:t xml:space="preserve">Other jurisdictions observed a different trend, with a rise in surrenders and thus payouts in 2024 (e.g. Greece, </w:t>
      </w:r>
      <w:r>
        <w:rPr>
          <w:rFonts w:ascii="Calibri" w:hAnsi="Calibri" w:eastAsia="Calibri"/>
          <w:b w:val="0"/>
          <w:i w:val="0"/>
          <w:color w:val="000000"/>
          <w:sz w:val="20"/>
        </w:rPr>
        <w:t xml:space="preserve">Chinese Taipei). In Chinese Taipei, some policyholders chose to redeem their life investment policies or switch </w:t>
      </w:r>
      <w:r>
        <w:rPr>
          <w:rFonts w:ascii="Calibri" w:hAnsi="Calibri" w:eastAsia="Calibri"/>
          <w:b w:val="0"/>
          <w:i w:val="0"/>
          <w:color w:val="000000"/>
          <w:sz w:val="20"/>
        </w:rPr>
        <w:t xml:space="preserve">investment strategy to realise profits and secure the gains, increasing surrenders. Changes in mortality rates </w:t>
      </w:r>
      <w:r>
        <w:rPr>
          <w:rFonts w:ascii="Calibri" w:hAnsi="Calibri" w:eastAsia="Calibri"/>
          <w:b w:val="0"/>
          <w:i w:val="0"/>
          <w:color w:val="000000"/>
          <w:sz w:val="20"/>
        </w:rPr>
        <w:t xml:space="preserve">may also affect the level of payouts. For instance, in Peru, payouts stabilised to more moderate levels following </w:t>
      </w:r>
      <w:r>
        <w:rPr>
          <w:rFonts w:ascii="Calibri" w:hAnsi="Calibri" w:eastAsia="Calibri"/>
          <w:b w:val="0"/>
          <w:i w:val="0"/>
          <w:color w:val="000000"/>
          <w:sz w:val="20"/>
        </w:rPr>
        <w:t xml:space="preserve">higher mortality rates between 2020 and 2022 due to COVID-19. </w:t>
      </w:r>
    </w:p>
    <w:p>
      <w:pPr>
        <w:autoSpaceDN w:val="0"/>
        <w:autoSpaceDE w:val="0"/>
        <w:widowControl/>
        <w:spacing w:line="245" w:lineRule="auto" w:before="1112" w:after="0"/>
        <w:ind w:left="0" w:right="0" w:firstLine="0"/>
        <w:jc w:val="left"/>
      </w:pPr>
      <w:r>
        <w:rPr>
          <w:rFonts w:ascii="Calibri" w:hAnsi="Calibri" w:eastAsia="Calibri"/>
          <w:b w:val="0"/>
          <w:i w:val="0"/>
          <w:color w:val="000000"/>
          <w:sz w:val="13"/>
        </w:rPr>
        <w:t>8</w:t>
      </w:r>
      <w:r>
        <w:rPr>
          <w:rFonts w:ascii="Calibri" w:hAnsi="Calibri" w:eastAsia="Calibri"/>
          <w:b w:val="0"/>
          <w:i w:val="0"/>
          <w:color w:val="0000FF"/>
          <w:sz w:val="20"/>
          <w:u w:val="single"/>
        </w:rPr>
        <w:hyperlink r:id="rId24" w:history="1">
          <w:r>
            <w:rPr>
              <w:rStyle w:val="Hyperlink"/>
            </w:rPr>
            <w:t>N° 170 : Le marché de l’assurance-vie en 2024 | Autorité de contrôle prudentiel et de résolution</w:t>
          </w:r>
        </w:hyperlink>
      </w:r>
      <w:r>
        <w:rPr>
          <w:rFonts w:ascii="Calibri" w:hAnsi="Calibri" w:eastAsia="Calibri"/>
          <w:b w:val="0"/>
          <w:i w:val="0"/>
          <w:color w:val="000000"/>
          <w:sz w:val="20"/>
        </w:rPr>
        <w:t xml:space="preserve"> </w:t>
      </w:r>
      <w:r>
        <w:rPr>
          <w:rFonts w:ascii="Calibri" w:hAnsi="Calibri" w:eastAsia="Calibri"/>
          <w:b w:val="0"/>
          <w:i w:val="0"/>
          <w:color w:val="000000"/>
          <w:sz w:val="20"/>
        </w:rPr>
        <w:t xml:space="preserve">(in French) </w:t>
      </w:r>
      <w:r>
        <w:rPr>
          <w:rFonts w:ascii="Calibri" w:hAnsi="Calibri" w:eastAsia="Calibri"/>
          <w:b w:val="0"/>
          <w:i w:val="0"/>
          <w:color w:val="000000"/>
          <w:sz w:val="13"/>
        </w:rPr>
        <w:t>9</w:t>
      </w:r>
      <w:r>
        <w:rPr>
          <w:rFonts w:ascii="Calibri" w:hAnsi="Calibri" w:eastAsia="Calibri"/>
          <w:b w:val="0"/>
          <w:i w:val="0"/>
          <w:color w:val="0000FF"/>
          <w:sz w:val="20"/>
          <w:u w:val="single"/>
        </w:rPr>
        <w:hyperlink r:id="rId25" w:history="1">
          <w:r>
            <w:rPr>
              <w:rStyle w:val="Hyperlink"/>
            </w:rPr>
            <w:t xml:space="preserve">MSCI World Index </w:t>
          </w:r>
        </w:hyperlink>
      </w:r>
      <w:r>
        <w:br/>
      </w:r>
      <w:r>
        <w:rPr>
          <w:rFonts w:ascii="Calibri" w:hAnsi="Calibri" w:eastAsia="Calibri"/>
          <w:b w:val="0"/>
          <w:i w:val="0"/>
          <w:color w:val="000000"/>
          <w:sz w:val="13"/>
        </w:rPr>
        <w:t>10</w:t>
      </w:r>
      <w:r>
        <w:rPr>
          <w:rFonts w:ascii="Calibri" w:hAnsi="Calibri" w:eastAsia="Calibri"/>
          <w:b w:val="0"/>
          <w:i w:val="0"/>
          <w:color w:val="000000"/>
          <w:sz w:val="20"/>
        </w:rPr>
        <w:t xml:space="preserve"> The New Pension Act took effect on 1 July 2023 and overhauls the pension system. The transition from the </w:t>
      </w:r>
      <w:r>
        <w:rPr>
          <w:rFonts w:ascii="Calibri" w:hAnsi="Calibri" w:eastAsia="Calibri"/>
          <w:b w:val="0"/>
          <w:i w:val="0"/>
          <w:color w:val="000000"/>
          <w:sz w:val="20"/>
        </w:rPr>
        <w:t xml:space="preserve">current system of defined benefit plans to the new system of defined contribution plans with some collective </w:t>
      </w:r>
      <w:r>
        <w:rPr>
          <w:rFonts w:ascii="Calibri" w:hAnsi="Calibri" w:eastAsia="Calibri"/>
          <w:b w:val="0"/>
          <w:i w:val="0"/>
          <w:color w:val="000000"/>
          <w:sz w:val="20"/>
        </w:rPr>
        <w:t>risk sharing features must be completed by 2028:</w:t>
      </w:r>
      <w:r>
        <w:rPr>
          <w:rFonts w:ascii="Calibri" w:hAnsi="Calibri" w:eastAsia="Calibri"/>
          <w:b w:val="0"/>
          <w:i w:val="0"/>
          <w:color w:val="000000"/>
          <w:sz w:val="20"/>
        </w:rPr>
        <w:t xml:space="preserve"> </w:t>
      </w:r>
      <w:r>
        <w:rPr>
          <w:rFonts w:ascii="Calibri" w:hAnsi="Calibri" w:eastAsia="Calibri"/>
          <w:b w:val="0"/>
          <w:i w:val="0"/>
          <w:color w:val="0000FF"/>
          <w:sz w:val="20"/>
          <w:u w:val="single"/>
        </w:rPr>
        <w:hyperlink r:id="rId26" w:history="1">
          <w:r>
            <w:rPr>
              <w:rStyle w:val="Hyperlink"/>
            </w:rPr>
            <w:t>The Dutch Future Pensions Act: five things you need to know</w:t>
          </w:r>
        </w:hyperlink>
      </w:r>
      <w:r>
        <w:rPr>
          <w:rFonts w:ascii="Calibri" w:hAnsi="Calibri" w:eastAsia="Calibri"/>
          <w:b w:val="0"/>
          <w:i w:val="0"/>
          <w:color w:val="0000FF"/>
          <w:sz w:val="20"/>
        </w:rPr>
        <w:t xml:space="preserve"> </w:t>
      </w:r>
      <w:r>
        <w:rPr>
          <w:rFonts w:ascii="Calibri" w:hAnsi="Calibri" w:eastAsia="Calibri"/>
          <w:b w:val="0"/>
          <w:i w:val="0"/>
          <w:color w:val="0000FF"/>
          <w:sz w:val="20"/>
          <w:u w:val="single"/>
        </w:rPr>
        <w:hyperlink r:id="rId26" w:history="1">
          <w:r>
            <w:rPr>
              <w:rStyle w:val="Hyperlink"/>
            </w:rPr>
            <w:t>- NautaDutilh</w:t>
          </w:r>
        </w:hyperlink>
      </w:r>
    </w:p>
    <w:p>
      <w:pPr>
        <w:autoSpaceDN w:val="0"/>
        <w:autoSpaceDE w:val="0"/>
        <w:widowControl/>
        <w:spacing w:line="197" w:lineRule="auto" w:before="382" w:after="0"/>
        <w:ind w:left="0" w:right="0" w:firstLine="0"/>
        <w:jc w:val="center"/>
      </w:pPr>
      <w:r>
        <w:rPr>
          <w:rFonts w:ascii="Calibri" w:hAnsi="Calibri" w:eastAsia="Calibri"/>
          <w:b w:val="0"/>
          <w:i w:val="0"/>
          <w:color w:val="000000"/>
          <w:sz w:val="22"/>
        </w:rPr>
        <w:t xml:space="preserve">5 </w:t>
      </w:r>
    </w:p>
    <w:p>
      <w:pPr>
        <w:sectPr>
          <w:type w:val="continuous"/>
          <w:pgSz w:w="11906" w:h="16841"/>
          <w:pgMar w:top="422" w:right="1336" w:bottom="418" w:left="1440" w:header="720" w:footer="720" w:gutter="0"/>
          <w:cols/>
          <w:docGrid w:linePitch="360"/>
        </w:sectPr>
      </w:pPr>
    </w:p>
    <w:p>
      <w:pPr>
        <w:autoSpaceDN w:val="0"/>
        <w:autoSpaceDE w:val="0"/>
        <w:widowControl/>
        <w:spacing w:line="220" w:lineRule="exact" w:before="0" w:after="404"/>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897890</wp:posOffset>
            </wp:positionH>
            <wp:positionV relativeFrom="page">
              <wp:posOffset>2603500</wp:posOffset>
            </wp:positionV>
            <wp:extent cx="5723890" cy="3674204"/>
            <wp:wrapNone/>
            <wp:docPr id="12" name="Picture 12"/>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723890" cy="3674204"/>
                    </a:xfrm>
                    <a:prstGeom prst="rect"/>
                  </pic:spPr>
                </pic:pic>
              </a:graphicData>
            </a:graphic>
          </wp:anchor>
        </w:drawing>
      </w:r>
    </w:p>
    <w:p>
      <w:pPr>
        <w:sectPr>
          <w:pgSz w:w="11906" w:h="16841"/>
          <w:pgMar w:top="422" w:right="1336" w:bottom="418" w:left="1392" w:header="720" w:footer="720" w:gutter="0"/>
          <w:cols/>
          <w:docGrid w:linePitch="360"/>
        </w:sectPr>
      </w:pPr>
    </w:p>
    <w:p>
      <w:pPr>
        <w:autoSpaceDN w:val="0"/>
        <w:autoSpaceDE w:val="0"/>
        <w:widowControl/>
        <w:spacing w:line="197" w:lineRule="auto" w:before="0" w:after="0"/>
        <w:ind w:left="70" w:right="0" w:firstLine="0"/>
        <w:jc w:val="left"/>
      </w:pPr>
      <w:r>
        <w:rPr>
          <w:rFonts w:ascii="Calibri" w:hAnsi="Calibri" w:eastAsia="Calibri"/>
          <w:b w:val="0"/>
          <w:i w:val="0"/>
          <w:color w:val="000000"/>
          <w:sz w:val="18"/>
        </w:rPr>
        <w:t xml:space="preserve">GLOBAL INSURANCE MARKET TRENDS - PRELIMINARY 2024 DATA </w:t>
      </w:r>
    </w:p>
    <w:p>
      <w:pPr>
        <w:sectPr>
          <w:type w:val="continuous"/>
          <w:pgSz w:w="11906" w:h="16841"/>
          <w:pgMar w:top="422" w:right="1336" w:bottom="418" w:left="1392" w:header="720" w:footer="720" w:gutter="0"/>
          <w:cols w:num="2" w:equalWidth="0">
            <w:col w:w="6025" w:space="0"/>
            <w:col w:w="3152" w:space="0"/>
          </w:cols>
          <w:docGrid w:linePitch="360"/>
        </w:sectPr>
      </w:pPr>
    </w:p>
    <w:p>
      <w:pPr>
        <w:autoSpaceDN w:val="0"/>
        <w:autoSpaceDE w:val="0"/>
        <w:widowControl/>
        <w:spacing w:line="240" w:lineRule="auto" w:before="0" w:after="0"/>
        <w:ind w:left="0" w:right="20" w:firstLine="0"/>
        <w:jc w:val="right"/>
      </w:pPr>
      <w:r>
        <w:drawing>
          <wp:inline xmlns:a="http://schemas.openxmlformats.org/drawingml/2006/main" xmlns:pic="http://schemas.openxmlformats.org/drawingml/2006/picture">
            <wp:extent cx="1266189" cy="294640"/>
            <wp:docPr id="11" name="Picture 11"/>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266189" cy="294640"/>
                    </a:xfrm>
                    <a:prstGeom prst="rect"/>
                  </pic:spPr>
                </pic:pic>
              </a:graphicData>
            </a:graphic>
          </wp:inline>
        </w:drawing>
      </w:r>
    </w:p>
    <w:p>
      <w:pPr>
        <w:spacing w:after="440"/>
        <w:sectPr>
          <w:type w:val="nextColumn"/>
          <w:pgSz w:w="11906" w:h="16841"/>
          <w:pgMar w:top="422" w:right="1336" w:bottom="418" w:left="1392" w:header="720" w:footer="720" w:gutter="0"/>
          <w:cols w:num="2" w:equalWidth="0">
            <w:col w:w="6025" w:space="0"/>
            <w:col w:w="3152" w:space="0"/>
          </w:cols>
          <w:docGrid w:linePitch="360"/>
        </w:sectPr>
      </w:pPr>
    </w:p>
    <w:p>
      <w:pPr>
        <w:autoSpaceDN w:val="0"/>
        <w:autoSpaceDE w:val="0"/>
        <w:widowControl/>
        <w:spacing w:line="245" w:lineRule="auto" w:before="0" w:after="0"/>
        <w:ind w:left="48" w:right="0" w:firstLine="0"/>
        <w:jc w:val="left"/>
      </w:pPr>
      <w:r>
        <w:rPr>
          <w:rFonts w:ascii="Calibri" w:hAnsi="Calibri" w:eastAsia="Calibri"/>
          <w:b/>
          <w:i w:val="0"/>
          <w:color w:val="365F91"/>
          <w:sz w:val="24"/>
        </w:rPr>
        <w:t xml:space="preserve">Insurers achieved widespread investment gains, driven by positive developments in equity </w:t>
      </w:r>
      <w:r>
        <w:rPr>
          <w:rFonts w:ascii="Calibri" w:hAnsi="Calibri" w:eastAsia="Calibri"/>
          <w:b/>
          <w:i w:val="0"/>
          <w:color w:val="365F91"/>
          <w:sz w:val="24"/>
        </w:rPr>
        <w:t xml:space="preserve">markets </w:t>
      </w:r>
    </w:p>
    <w:p>
      <w:pPr>
        <w:autoSpaceDN w:val="0"/>
        <w:autoSpaceDE w:val="0"/>
        <w:widowControl/>
        <w:spacing w:line="257" w:lineRule="auto" w:before="288" w:after="266"/>
        <w:ind w:left="48" w:right="58" w:firstLine="0"/>
        <w:jc w:val="both"/>
      </w:pPr>
      <w:r>
        <w:rPr>
          <w:rFonts w:ascii="Calibri" w:hAnsi="Calibri" w:eastAsia="Calibri"/>
          <w:b/>
          <w:i w:val="0"/>
          <w:color w:val="000000"/>
          <w:sz w:val="20"/>
        </w:rPr>
        <w:t>Insurers achieved widespread investment gains, affecting their profitability positively in 2024.</w:t>
      </w:r>
      <w:r>
        <w:rPr>
          <w:rFonts w:ascii="Calibri" w:hAnsi="Calibri" w:eastAsia="Calibri"/>
          <w:b w:val="0"/>
          <w:i w:val="0"/>
          <w:color w:val="000000"/>
          <w:sz w:val="20"/>
        </w:rPr>
        <w:t xml:space="preserve"> Insurers </w:t>
      </w:r>
      <w:r>
        <w:rPr>
          <w:rFonts w:ascii="Calibri" w:hAnsi="Calibri" w:eastAsia="Calibri"/>
          <w:b w:val="0"/>
          <w:i w:val="0"/>
          <w:color w:val="000000"/>
          <w:sz w:val="20"/>
        </w:rPr>
        <w:t xml:space="preserve">exhibited positive investment rates of return in the majority of reporting jurisdictions. These investment rates </w:t>
      </w:r>
      <w:r>
        <w:rPr>
          <w:rFonts w:ascii="Calibri" w:hAnsi="Calibri" w:eastAsia="Calibri"/>
          <w:b w:val="0"/>
          <w:i w:val="0"/>
          <w:color w:val="000000"/>
          <w:sz w:val="20"/>
        </w:rPr>
        <w:t xml:space="preserve">of return exceeded inflation in 22 out of 29 reporting jurisdictions for non-life insurers, 20 out of 26 jurisdictions </w:t>
      </w:r>
      <w:r>
        <w:rPr>
          <w:rFonts w:ascii="Calibri" w:hAnsi="Calibri" w:eastAsia="Calibri"/>
          <w:b w:val="0"/>
          <w:i w:val="0"/>
          <w:color w:val="000000"/>
          <w:sz w:val="20"/>
        </w:rPr>
        <w:t xml:space="preserve">for life insurers, and 20 out of 23 jurisdictions for composite insurers (Figure 3). </w:t>
      </w:r>
    </w:p>
    <w:tbl>
      <w:tblPr>
        <w:tblW w:type="auto" w:w="0"/>
        <w:tblLayout w:type="fixed"/>
        <w:tblLook w:firstColumn="1" w:firstRow="1" w:lastColumn="0" w:lastRow="0" w:noHBand="0" w:noVBand="1" w:val="04A0"/>
        <w:tblInd w:w="14.000000000000057" w:type="dxa"/>
      </w:tblPr>
      <w:tblGrid>
        <w:gridCol w:w="9178"/>
      </w:tblGrid>
      <w:tr>
        <w:trPr>
          <w:trHeight w:hRule="exact" w:val="6196"/>
        </w:trPr>
        <w:tc>
          <w:tcPr>
            <w:tcW w:type="dxa" w:w="9030"/>
            <w:tcBorders>
              <w:start w:sz="12.0" w:val="single" w:color="#CBCCCB"/>
              <w:top w:sz="12.0" w:val="single" w:color="#CBCCCB"/>
              <w:end w:sz="12.0" w:val="single" w:color="#CBCCCB"/>
              <w:bottom w:sz="12.0" w:val="single" w:color="#CBCCCB"/>
            </w:tcBorders>
            <w:shd w:fill="ffffff"/>
            <w:tcMar>
              <w:start w:w="0" w:type="dxa"/>
              <w:end w:w="0" w:type="dxa"/>
            </w:tcMar>
          </w:tcPr>
          <w:p>
            <w:pPr>
              <w:autoSpaceDN w:val="0"/>
              <w:autoSpaceDE w:val="0"/>
              <w:widowControl/>
              <w:spacing w:line="294" w:lineRule="exact" w:before="84" w:after="0"/>
              <w:ind w:left="576" w:right="576" w:firstLine="0"/>
              <w:jc w:val="center"/>
            </w:pPr>
            <w:r>
              <w:rPr>
                <w:rFonts w:ascii="Arial" w:hAnsi="Arial" w:eastAsia="Arial"/>
                <w:b/>
                <w:i w:val="0"/>
                <w:color w:val="000000"/>
                <w:sz w:val="16"/>
              </w:rPr>
              <w:t xml:space="preserve">Figure 3. Average annual real net investment return by type of domestic insurer in 2024 (preliminary) </w:t>
            </w:r>
            <w:r>
              <w:rPr>
                <w:rFonts w:ascii="ArialMT" w:hAnsi="ArialMT" w:eastAsia="ArialMT"/>
                <w:b w:val="0"/>
                <w:i w:val="0"/>
                <w:color w:val="000000"/>
                <w:sz w:val="15"/>
              </w:rPr>
              <w:t xml:space="preserve">In per cent </w:t>
            </w:r>
          </w:p>
          <w:p>
            <w:pPr>
              <w:autoSpaceDN w:val="0"/>
              <w:autoSpaceDE w:val="0"/>
              <w:widowControl/>
              <w:spacing w:line="160" w:lineRule="exact" w:before="4962" w:after="0"/>
              <w:ind w:left="726" w:right="4896" w:firstLine="0"/>
              <w:jc w:val="left"/>
            </w:pPr>
            <w:r>
              <w:rPr>
                <w:rFonts w:ascii="ArialMT" w:hAnsi="ArialMT" w:eastAsia="ArialMT"/>
                <w:b w:val="0"/>
                <w:i w:val="0"/>
                <w:color w:val="000000"/>
                <w:sz w:val="12"/>
              </w:rPr>
              <w:t xml:space="preserve">Notes: See the end of this factsheet for methodological notes. </w:t>
            </w:r>
            <w:r>
              <w:br/>
            </w:r>
            <w:r>
              <w:rPr>
                <w:rFonts w:ascii="ArialMT" w:hAnsi="ArialMT" w:eastAsia="ArialMT"/>
                <w:b w:val="0"/>
                <w:i w:val="0"/>
                <w:color w:val="000000"/>
                <w:sz w:val="12"/>
              </w:rPr>
              <w:t xml:space="preserve">Source: OECD Global Insurance Statistics. </w:t>
            </w:r>
          </w:p>
        </w:tc>
      </w:tr>
    </w:tbl>
    <w:p>
      <w:pPr>
        <w:autoSpaceDN w:val="0"/>
        <w:autoSpaceDE w:val="0"/>
        <w:widowControl/>
        <w:spacing w:line="250" w:lineRule="auto" w:before="522" w:after="0"/>
        <w:ind w:left="48" w:right="58" w:firstLine="0"/>
        <w:jc w:val="both"/>
      </w:pPr>
      <w:r>
        <w:rPr>
          <w:rFonts w:ascii="Calibri" w:hAnsi="Calibri" w:eastAsia="Calibri"/>
          <w:b/>
          <w:i w:val="0"/>
          <w:color w:val="000000"/>
          <w:sz w:val="20"/>
        </w:rPr>
        <w:t>Positive developments in equity markets bolstered the investments gains of insurers</w:t>
      </w:r>
      <w:r>
        <w:rPr>
          <w:rFonts w:ascii="Calibri" w:hAnsi="Calibri" w:eastAsia="Calibri"/>
          <w:b w:val="0"/>
          <w:i w:val="0"/>
          <w:color w:val="000000"/>
          <w:sz w:val="20"/>
        </w:rPr>
        <w:t xml:space="preserve">. Some of the European </w:t>
      </w:r>
      <w:r>
        <w:rPr>
          <w:rFonts w:ascii="Calibri" w:hAnsi="Calibri" w:eastAsia="Calibri"/>
          <w:b w:val="0"/>
          <w:i w:val="0"/>
          <w:color w:val="000000"/>
          <w:sz w:val="20"/>
        </w:rPr>
        <w:t xml:space="preserve">countries where insurers invested the most in equities, such as in Iceland and Sweden (Figure 4), were also </w:t>
      </w:r>
      <w:r>
        <w:rPr>
          <w:rFonts w:ascii="Calibri" w:hAnsi="Calibri" w:eastAsia="Calibri"/>
          <w:b w:val="0"/>
          <w:i w:val="0"/>
          <w:color w:val="000000"/>
          <w:sz w:val="20"/>
        </w:rPr>
        <w:t xml:space="preserve">among those where insurers recorded the highest returns (over 4% in real terms in 2024). </w:t>
      </w:r>
    </w:p>
    <w:p>
      <w:pPr>
        <w:autoSpaceDN w:val="0"/>
        <w:autoSpaceDE w:val="0"/>
        <w:widowControl/>
        <w:spacing w:line="197" w:lineRule="auto" w:before="4398" w:after="0"/>
        <w:ind w:left="0" w:right="0" w:firstLine="0"/>
        <w:jc w:val="center"/>
      </w:pPr>
      <w:r>
        <w:rPr>
          <w:rFonts w:ascii="Calibri" w:hAnsi="Calibri" w:eastAsia="Calibri"/>
          <w:b w:val="0"/>
          <w:i w:val="0"/>
          <w:color w:val="000000"/>
          <w:sz w:val="22"/>
        </w:rPr>
        <w:t xml:space="preserve">6 </w:t>
      </w:r>
    </w:p>
    <w:p>
      <w:pPr>
        <w:sectPr>
          <w:type w:val="continuous"/>
          <w:pgSz w:w="11906" w:h="16841"/>
          <w:pgMar w:top="422" w:right="1336" w:bottom="418" w:left="1392" w:header="720" w:footer="720" w:gutter="0"/>
          <w:cols/>
          <w:docGrid w:linePitch="360"/>
        </w:sectPr>
      </w:pPr>
    </w:p>
    <w:p>
      <w:pPr>
        <w:autoSpaceDN w:val="0"/>
        <w:autoSpaceDE w:val="0"/>
        <w:widowControl/>
        <w:spacing w:line="220" w:lineRule="exact" w:before="0" w:after="404"/>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816610</wp:posOffset>
            </wp:positionH>
            <wp:positionV relativeFrom="page">
              <wp:posOffset>1214120</wp:posOffset>
            </wp:positionV>
            <wp:extent cx="5765799" cy="6124376"/>
            <wp:wrapNone/>
            <wp:docPr id="14" name="Picture 14"/>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765799" cy="6124376"/>
                    </a:xfrm>
                    <a:prstGeom prst="rect"/>
                  </pic:spPr>
                </pic:pic>
              </a:graphicData>
            </a:graphic>
          </wp:anchor>
        </w:drawing>
      </w:r>
    </w:p>
    <w:p>
      <w:pPr>
        <w:sectPr>
          <w:pgSz w:w="11906" w:h="16841"/>
          <w:pgMar w:top="422" w:right="1336" w:bottom="418" w:left="1264" w:header="720" w:footer="720" w:gutter="0"/>
          <w:cols/>
          <w:docGrid w:linePitch="360"/>
        </w:sectPr>
      </w:pPr>
    </w:p>
    <w:p>
      <w:pPr>
        <w:autoSpaceDN w:val="0"/>
        <w:autoSpaceDE w:val="0"/>
        <w:widowControl/>
        <w:spacing w:line="197" w:lineRule="auto" w:before="0" w:after="0"/>
        <w:ind w:left="198" w:right="0" w:firstLine="0"/>
        <w:jc w:val="left"/>
      </w:pPr>
      <w:r>
        <w:rPr>
          <w:rFonts w:ascii="Calibri" w:hAnsi="Calibri" w:eastAsia="Calibri"/>
          <w:b w:val="0"/>
          <w:i w:val="0"/>
          <w:color w:val="000000"/>
          <w:sz w:val="18"/>
        </w:rPr>
        <w:t xml:space="preserve">GLOBAL INSURANCE MARKET TRENDS - PRELIMINARY 2024 DATA </w:t>
      </w:r>
    </w:p>
    <w:p>
      <w:pPr>
        <w:sectPr>
          <w:type w:val="continuous"/>
          <w:pgSz w:w="11906" w:h="16841"/>
          <w:pgMar w:top="422" w:right="1336" w:bottom="418" w:left="1264" w:header="720" w:footer="720" w:gutter="0"/>
          <w:cols w:num="2" w:equalWidth="0">
            <w:col w:w="6154" w:space="0"/>
            <w:col w:w="3152" w:space="0"/>
          </w:cols>
          <w:docGrid w:linePitch="360"/>
        </w:sectPr>
      </w:pPr>
    </w:p>
    <w:p>
      <w:pPr>
        <w:autoSpaceDN w:val="0"/>
        <w:autoSpaceDE w:val="0"/>
        <w:widowControl/>
        <w:spacing w:line="240" w:lineRule="auto" w:before="0" w:after="0"/>
        <w:ind w:left="0" w:right="20" w:firstLine="0"/>
        <w:jc w:val="right"/>
      </w:pPr>
      <w:r>
        <w:drawing>
          <wp:inline xmlns:a="http://schemas.openxmlformats.org/drawingml/2006/main" xmlns:pic="http://schemas.openxmlformats.org/drawingml/2006/picture">
            <wp:extent cx="1266189" cy="294640"/>
            <wp:docPr id="13" name="Picture 13"/>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266189" cy="294640"/>
                    </a:xfrm>
                    <a:prstGeom prst="rect"/>
                  </pic:spPr>
                </pic:pic>
              </a:graphicData>
            </a:graphic>
          </wp:inline>
        </w:drawing>
      </w:r>
    </w:p>
    <w:p>
      <w:pPr>
        <w:spacing w:after="382"/>
        <w:sectPr>
          <w:type w:val="nextColumn"/>
          <w:pgSz w:w="11906" w:h="16841"/>
          <w:pgMar w:top="422" w:right="1336" w:bottom="418" w:left="1264" w:header="720" w:footer="720" w:gutter="0"/>
          <w:cols w:num="2" w:equalWidth="0">
            <w:col w:w="6154" w:space="0"/>
            <w:col w:w="3152" w:space="0"/>
          </w:cols>
          <w:docGrid w:linePitch="360"/>
        </w:sectPr>
      </w:pPr>
    </w:p>
    <w:tbl>
      <w:tblPr>
        <w:tblW w:type="auto" w:w="0"/>
        <w:tblLayout w:type="fixed"/>
        <w:tblLook w:firstColumn="1" w:firstRow="1" w:lastColumn="0" w:lastRow="0" w:noHBand="0" w:noVBand="1" w:val="04A0"/>
        <w:tblInd w:w="15.999999999999943" w:type="dxa"/>
      </w:tblPr>
      <w:tblGrid>
        <w:gridCol w:w="9306"/>
      </w:tblGrid>
      <w:tr>
        <w:trPr>
          <w:trHeight w:hRule="exact" w:val="9714"/>
        </w:trPr>
        <w:tc>
          <w:tcPr>
            <w:tcW w:type="dxa" w:w="9090"/>
            <w:tcBorders>
              <w:start w:sz="12.0" w:val="single" w:color="#CBCCCB"/>
              <w:top w:sz="12.0" w:val="single" w:color="#CBCCCB"/>
              <w:end w:sz="12.0" w:val="single" w:color="#CBCCCB"/>
              <w:bottom w:sz="12.0" w:val="single" w:color="#CBCCCB"/>
            </w:tcBorders>
            <w:shd w:fill="ffffff"/>
            <w:tcMar>
              <w:start w:w="0" w:type="dxa"/>
              <w:end w:w="0" w:type="dxa"/>
            </w:tcMar>
          </w:tcPr>
          <w:p>
            <w:pPr>
              <w:autoSpaceDN w:val="0"/>
              <w:autoSpaceDE w:val="0"/>
              <w:widowControl/>
              <w:spacing w:line="234" w:lineRule="exact" w:before="144" w:after="0"/>
              <w:ind w:left="1008" w:right="864" w:firstLine="0"/>
              <w:jc w:val="center"/>
            </w:pPr>
            <w:r>
              <w:rPr>
                <w:rFonts w:ascii="Arial" w:hAnsi="Arial" w:eastAsia="Arial"/>
                <w:b/>
                <w:i w:val="0"/>
                <w:color w:val="000000"/>
                <w:sz w:val="16"/>
              </w:rPr>
              <w:t xml:space="preserve">Figure 4. Asset allocation of domestic insurance companies (all sectors), 2024 (preliminary) </w:t>
            </w:r>
            <w:r>
              <w:rPr>
                <w:rFonts w:ascii="ArialMT" w:hAnsi="ArialMT" w:eastAsia="ArialMT"/>
                <w:b w:val="0"/>
                <w:i w:val="0"/>
                <w:color w:val="000000"/>
                <w:sz w:val="15"/>
              </w:rPr>
              <w:t xml:space="preserve">As a percentage of total investment </w:t>
            </w:r>
          </w:p>
          <w:p>
            <w:pPr>
              <w:autoSpaceDN w:val="0"/>
              <w:autoSpaceDE w:val="0"/>
              <w:widowControl/>
              <w:spacing w:line="158" w:lineRule="exact" w:before="8718" w:after="0"/>
              <w:ind w:left="1630" w:right="4032" w:firstLine="0"/>
              <w:jc w:val="left"/>
            </w:pPr>
            <w:r>
              <w:rPr>
                <w:rFonts w:ascii="ArialMT" w:hAnsi="ArialMT" w:eastAsia="ArialMT"/>
                <w:b w:val="0"/>
                <w:i w:val="0"/>
                <w:color w:val="000000"/>
                <w:sz w:val="12"/>
              </w:rPr>
              <w:t xml:space="preserve">Notes: See the end of this factsheet for methodological notes. </w:t>
            </w:r>
            <w:r>
              <w:br/>
            </w:r>
            <w:r>
              <w:rPr>
                <w:rFonts w:ascii="ArialMT" w:hAnsi="ArialMT" w:eastAsia="ArialMT"/>
                <w:b w:val="0"/>
                <w:i w:val="0"/>
                <w:color w:val="000000"/>
                <w:sz w:val="12"/>
              </w:rPr>
              <w:t xml:space="preserve">Source: OECD Global Insurance Statistics. </w:t>
            </w:r>
          </w:p>
        </w:tc>
      </w:tr>
    </w:tbl>
    <w:p>
      <w:pPr>
        <w:autoSpaceDN w:val="0"/>
        <w:autoSpaceDE w:val="0"/>
        <w:widowControl/>
        <w:spacing w:line="257" w:lineRule="auto" w:before="404" w:after="0"/>
        <w:ind w:left="176" w:right="56" w:firstLine="0"/>
        <w:jc w:val="both"/>
      </w:pPr>
      <w:r>
        <w:rPr>
          <w:rFonts w:ascii="Calibri" w:hAnsi="Calibri" w:eastAsia="Calibri"/>
          <w:b/>
          <w:i w:val="0"/>
          <w:color w:val="000000"/>
          <w:sz w:val="20"/>
        </w:rPr>
        <w:t>The positive developments in equity markets led some insurers to increase their equity holdings in 2024.</w:t>
      </w:r>
      <w:r>
        <w:rPr>
          <w:rFonts w:ascii="Calibri" w:hAnsi="Calibri" w:eastAsia="Calibri"/>
          <w:b w:val="0"/>
          <w:i w:val="0"/>
          <w:color w:val="000000"/>
          <w:sz w:val="20"/>
        </w:rPr>
        <w:t xml:space="preserve"> For </w:t>
      </w:r>
      <w:r>
        <w:rPr>
          <w:rFonts w:ascii="Calibri" w:hAnsi="Calibri" w:eastAsia="Calibri"/>
          <w:b w:val="0"/>
          <w:i w:val="0"/>
          <w:color w:val="000000"/>
          <w:sz w:val="20"/>
        </w:rPr>
        <w:t xml:space="preserve">example, Latvia and Slovenia reported that some insurers reduced their bond holdings and increased their </w:t>
      </w:r>
      <w:r>
        <w:rPr>
          <w:rFonts w:ascii="Calibri" w:hAnsi="Calibri" w:eastAsia="Calibri"/>
          <w:b w:val="0"/>
          <w:i w:val="0"/>
          <w:color w:val="000000"/>
          <w:sz w:val="20"/>
        </w:rPr>
        <w:t xml:space="preserve">exposure to equities in search of higher returns. However, bonds generally remained the main asset class in the </w:t>
      </w:r>
      <w:r>
        <w:rPr>
          <w:rFonts w:ascii="Calibri" w:hAnsi="Calibri" w:eastAsia="Calibri"/>
          <w:b w:val="0"/>
          <w:i w:val="0"/>
          <w:color w:val="000000"/>
          <w:sz w:val="20"/>
        </w:rPr>
        <w:t xml:space="preserve">investment portfolio of insurers given their relative safety and use in asset-liability management. </w:t>
      </w:r>
    </w:p>
    <w:p>
      <w:pPr>
        <w:autoSpaceDN w:val="0"/>
        <w:autoSpaceDE w:val="0"/>
        <w:widowControl/>
        <w:spacing w:line="245" w:lineRule="auto" w:before="286" w:after="0"/>
        <w:ind w:left="176" w:right="0" w:firstLine="0"/>
        <w:jc w:val="left"/>
      </w:pPr>
      <w:r>
        <w:rPr>
          <w:rFonts w:ascii="Calibri" w:hAnsi="Calibri" w:eastAsia="Calibri"/>
          <w:b w:val="0"/>
          <w:i/>
          <w:color w:val="000000"/>
          <w:sz w:val="20"/>
        </w:rPr>
        <w:t xml:space="preserve">The full version of the 2025 edition of Global Insurance Market Trends to be published in Q4 2025 will examine </w:t>
      </w:r>
      <w:r>
        <w:rPr>
          <w:rFonts w:ascii="Calibri" w:hAnsi="Calibri" w:eastAsia="Calibri"/>
          <w:b w:val="0"/>
          <w:i/>
          <w:color w:val="000000"/>
          <w:sz w:val="20"/>
        </w:rPr>
        <w:t xml:space="preserve">the underwriting and investment gains of insurers and their overall profits in 2024 in more detail. </w:t>
      </w:r>
    </w:p>
    <w:p>
      <w:pPr>
        <w:autoSpaceDN w:val="0"/>
        <w:autoSpaceDE w:val="0"/>
        <w:widowControl/>
        <w:spacing w:line="197" w:lineRule="auto" w:before="2140" w:after="0"/>
        <w:ind w:left="0" w:right="4512" w:firstLine="0"/>
        <w:jc w:val="right"/>
      </w:pPr>
      <w:r>
        <w:rPr>
          <w:rFonts w:ascii="Calibri" w:hAnsi="Calibri" w:eastAsia="Calibri"/>
          <w:b w:val="0"/>
          <w:i w:val="0"/>
          <w:color w:val="000000"/>
          <w:sz w:val="22"/>
        </w:rPr>
        <w:t xml:space="preserve">7 </w:t>
      </w:r>
    </w:p>
    <w:p>
      <w:pPr>
        <w:sectPr>
          <w:type w:val="continuous"/>
          <w:pgSz w:w="11906" w:h="16841"/>
          <w:pgMar w:top="422" w:right="1336" w:bottom="418" w:left="1264" w:header="720" w:footer="720" w:gutter="0"/>
          <w:cols/>
          <w:docGrid w:linePitch="360"/>
        </w:sectPr>
      </w:pPr>
    </w:p>
    <w:p>
      <w:pPr>
        <w:autoSpaceDN w:val="0"/>
        <w:autoSpaceDE w:val="0"/>
        <w:widowControl/>
        <w:spacing w:line="220" w:lineRule="exact" w:before="0" w:after="404"/>
        <w:ind w:left="0" w:right="0"/>
      </w:pPr>
    </w:p>
    <w:p>
      <w:pPr>
        <w:sectPr>
          <w:pgSz w:w="11906" w:h="16841"/>
          <w:pgMar w:top="422" w:right="938" w:bottom="418" w:left="1116" w:header="720" w:footer="720" w:gutter="0"/>
          <w:cols/>
          <w:docGrid w:linePitch="360"/>
        </w:sectPr>
      </w:pPr>
    </w:p>
    <w:p>
      <w:pPr>
        <w:autoSpaceDN w:val="0"/>
        <w:autoSpaceDE w:val="0"/>
        <w:widowControl/>
        <w:spacing w:line="197" w:lineRule="auto" w:before="0" w:after="0"/>
        <w:ind w:left="346" w:right="0" w:firstLine="0"/>
        <w:jc w:val="left"/>
      </w:pPr>
      <w:r>
        <w:rPr>
          <w:rFonts w:ascii="Calibri" w:hAnsi="Calibri" w:eastAsia="Calibri"/>
          <w:b w:val="0"/>
          <w:i w:val="0"/>
          <w:color w:val="000000"/>
          <w:sz w:val="18"/>
        </w:rPr>
        <w:t xml:space="preserve">GLOBAL INSURANCE MARKET TRENDS - PRELIMINARY 2024 DATA </w:t>
      </w:r>
    </w:p>
    <w:p>
      <w:pPr>
        <w:sectPr>
          <w:type w:val="continuous"/>
          <w:pgSz w:w="11906" w:h="16841"/>
          <w:pgMar w:top="422" w:right="938" w:bottom="418" w:left="1116" w:header="720" w:footer="720" w:gutter="0"/>
          <w:cols w:num="2" w:equalWidth="0">
            <w:col w:w="6301" w:space="0"/>
            <w:col w:w="3550" w:space="0"/>
          </w:cols>
          <w:docGrid w:linePitch="360"/>
        </w:sectPr>
      </w:pPr>
    </w:p>
    <w:p>
      <w:pPr>
        <w:autoSpaceDN w:val="0"/>
        <w:autoSpaceDE w:val="0"/>
        <w:widowControl/>
        <w:spacing w:line="240" w:lineRule="auto" w:before="0" w:after="0"/>
        <w:ind w:left="0" w:right="418" w:firstLine="0"/>
        <w:jc w:val="right"/>
      </w:pPr>
      <w:r>
        <w:drawing>
          <wp:inline xmlns:a="http://schemas.openxmlformats.org/drawingml/2006/main" xmlns:pic="http://schemas.openxmlformats.org/drawingml/2006/picture">
            <wp:extent cx="1266189" cy="294640"/>
            <wp:docPr id="15" name="Picture 15"/>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266189" cy="294640"/>
                    </a:xfrm>
                    <a:prstGeom prst="rect"/>
                  </pic:spPr>
                </pic:pic>
              </a:graphicData>
            </a:graphic>
          </wp:inline>
        </w:drawing>
      </w:r>
    </w:p>
    <w:p>
      <w:pPr>
        <w:spacing w:after="590"/>
        <w:sectPr>
          <w:type w:val="nextColumn"/>
          <w:pgSz w:w="11906" w:h="16841"/>
          <w:pgMar w:top="422" w:right="938" w:bottom="418" w:left="1116" w:header="720" w:footer="720" w:gutter="0"/>
          <w:cols w:num="2" w:equalWidth="0">
            <w:col w:w="6301" w:space="0"/>
            <w:col w:w="3550" w:space="0"/>
          </w:cols>
          <w:docGrid w:linePitch="360"/>
        </w:sectPr>
      </w:pPr>
    </w:p>
    <w:p>
      <w:pPr>
        <w:autoSpaceDN w:val="0"/>
        <w:autoSpaceDE w:val="0"/>
        <w:widowControl/>
        <w:spacing w:line="197" w:lineRule="auto" w:before="114" w:after="0"/>
        <w:ind w:left="144" w:right="0" w:firstLine="0"/>
        <w:jc w:val="left"/>
      </w:pPr>
      <w:r>
        <w:rPr>
          <w:rFonts w:ascii="Calibri" w:hAnsi="Calibri" w:eastAsia="Calibri"/>
          <w:b/>
          <w:i w:val="0"/>
          <w:color w:val="FFFFFF"/>
          <w:sz w:val="22"/>
        </w:rPr>
        <w:t xml:space="preserve">METHODOLOGICAL NOTES TO BE TAKEN INTO CONSIDERATION WHEN INTERPRETING THE DATA </w:t>
      </w:r>
    </w:p>
    <w:p>
      <w:pPr>
        <w:autoSpaceDN w:val="0"/>
        <w:tabs>
          <w:tab w:pos="504" w:val="left"/>
          <w:tab w:pos="864" w:val="left"/>
        </w:tabs>
        <w:autoSpaceDE w:val="0"/>
        <w:widowControl/>
        <w:spacing w:line="245" w:lineRule="auto" w:before="96" w:after="0"/>
        <w:ind w:left="144" w:right="0" w:firstLine="0"/>
        <w:jc w:val="left"/>
      </w:pPr>
      <w:r>
        <w:rPr>
          <w:rFonts w:ascii="Calibri" w:hAnsi="Calibri" w:eastAsia="Calibri"/>
          <w:b/>
          <w:i/>
          <w:color w:val="FFFFFF"/>
          <w:sz w:val="16"/>
        </w:rPr>
        <w:t>General:</w:t>
      </w:r>
      <w:r>
        <w:rPr>
          <w:rFonts w:ascii="Calibri" w:hAnsi="Calibri" w:eastAsia="Calibri"/>
          <w:b w:val="0"/>
          <w:i w:val="0"/>
          <w:color w:val="FFFFFF"/>
          <w:sz w:val="16"/>
        </w:rPr>
        <w:t xml:space="preserve"> Data are collected within the framework of the OECD Global Insurance Statistics (GIS) project. Data in this note are preliminary and may </w:t>
      </w:r>
      <w:r>
        <w:rPr>
          <w:rFonts w:ascii="Calibri" w:hAnsi="Calibri" w:eastAsia="Calibri"/>
          <w:b w:val="0"/>
          <w:i w:val="0"/>
          <w:color w:val="FFFFFF"/>
          <w:sz w:val="16"/>
        </w:rPr>
        <w:t xml:space="preserve">be revised in the forthcoming 2025 edition of the full </w:t>
      </w:r>
      <w:r>
        <w:rPr>
          <w:rFonts w:ascii="Calibri" w:hAnsi="Calibri" w:eastAsia="Calibri"/>
          <w:b w:val="0"/>
          <w:i/>
          <w:color w:val="FFFFFF"/>
          <w:sz w:val="16"/>
        </w:rPr>
        <w:t xml:space="preserve">Global Insurance Market Trends </w:t>
      </w:r>
      <w:r>
        <w:rPr>
          <w:rFonts w:ascii="Calibri" w:hAnsi="Calibri" w:eastAsia="Calibri"/>
          <w:b w:val="0"/>
          <w:i w:val="0"/>
          <w:color w:val="FFFFFF"/>
          <w:sz w:val="16"/>
        </w:rPr>
        <w:t xml:space="preserve">report. This note focuses mainly on the direct insurance </w:t>
      </w:r>
      <w:r>
        <w:rPr>
          <w:rFonts w:ascii="Calibri" w:hAnsi="Calibri" w:eastAsia="Calibri"/>
          <w:b w:val="0"/>
          <w:i w:val="0"/>
          <w:color w:val="FFFFFF"/>
          <w:sz w:val="16"/>
        </w:rPr>
        <w:t xml:space="preserve">business of domestically incorporated undertakings (i.e. incorporated under national law), and includes data for the following participating </w:t>
      </w:r>
      <w:r>
        <w:rPr>
          <w:rFonts w:ascii="Calibri" w:hAnsi="Calibri" w:eastAsia="Calibri"/>
          <w:b w:val="0"/>
          <w:i w:val="0"/>
          <w:color w:val="FFFFFF"/>
          <w:sz w:val="16"/>
        </w:rPr>
        <w:t xml:space="preserve">jurisdictions: </w:t>
      </w:r>
      <w:r>
        <w:br/>
      </w:r>
      <w:r>
        <w:tab/>
      </w:r>
      <w:r>
        <w:rPr>
          <w:rFonts w:ascii="Calibri" w:hAnsi="Calibri" w:eastAsia="Calibri"/>
          <w:b w:val="0"/>
          <w:i w:val="0"/>
          <w:color w:val="FFFFFF"/>
          <w:sz w:val="16"/>
        </w:rPr>
        <w:t>●</w:t>
      </w:r>
      <w:r>
        <w:tab/>
      </w:r>
      <w:r>
        <w:rPr>
          <w:rFonts w:ascii="Calibri" w:hAnsi="Calibri" w:eastAsia="Calibri"/>
          <w:b w:val="0"/>
          <w:i w:val="0"/>
          <w:color w:val="FFFFFF"/>
          <w:sz w:val="16"/>
        </w:rPr>
        <w:t xml:space="preserve">OECD Members: Australia, Austria, Belgium, Canada, Chile, Colombia, Costa Rica, Czechia, Denmark, Estonia, Finland, France, Germany, </w:t>
      </w:r>
      <w:r>
        <w:tab/>
      </w:r>
      <w:r>
        <w:tab/>
      </w:r>
      <w:r>
        <w:rPr>
          <w:rFonts w:ascii="Calibri" w:hAnsi="Calibri" w:eastAsia="Calibri"/>
          <w:b w:val="0"/>
          <w:i w:val="0"/>
          <w:color w:val="FFFFFF"/>
          <w:sz w:val="16"/>
        </w:rPr>
        <w:t xml:space="preserve">Greece, Hungary, Iceland, Ireland, Israel, Italy, Latvia, Lithuania, Luxembourg, Mexico, the Netherlands, Norway, Poland, Portugal, the </w:t>
      </w:r>
      <w:r>
        <w:tab/>
      </w:r>
      <w:r>
        <w:tab/>
      </w:r>
      <w:r>
        <w:rPr>
          <w:rFonts w:ascii="Calibri" w:hAnsi="Calibri" w:eastAsia="Calibri"/>
          <w:b w:val="0"/>
          <w:i w:val="0"/>
          <w:color w:val="FFFFFF"/>
          <w:sz w:val="16"/>
        </w:rPr>
        <w:t xml:space="preserve">Slovak Republic, Slovenia, Spain, Sweden, the United Kingdom and the United States; </w:t>
      </w:r>
      <w:r>
        <w:br/>
      </w:r>
      <w:r>
        <w:tab/>
      </w:r>
      <w:r>
        <w:rPr>
          <w:rFonts w:ascii="Calibri" w:hAnsi="Calibri" w:eastAsia="Calibri"/>
          <w:b w:val="0"/>
          <w:i w:val="0"/>
          <w:color w:val="FFFFFF"/>
          <w:sz w:val="16"/>
        </w:rPr>
        <w:t>●</w:t>
      </w:r>
      <w:r>
        <w:tab/>
      </w:r>
      <w:r>
        <w:rPr>
          <w:rFonts w:ascii="Calibri" w:hAnsi="Calibri" w:eastAsia="Calibri"/>
          <w:b w:val="0"/>
          <w:i w:val="0"/>
          <w:color w:val="FFFFFF"/>
          <w:sz w:val="16"/>
        </w:rPr>
        <w:t xml:space="preserve">ASSAL (non-OECD) Members: Bolivia, Brazil, El Salvador, Guatemala, Honduras, Nicaragua, Panama, Paraguay, Peru, Uruguay; </w:t>
      </w:r>
      <w:r>
        <w:tab/>
      </w:r>
      <w:r>
        <w:rPr>
          <w:rFonts w:ascii="Calibri" w:hAnsi="Calibri" w:eastAsia="Calibri"/>
          <w:b w:val="0"/>
          <w:i w:val="0"/>
          <w:color w:val="FFFFFF"/>
          <w:sz w:val="16"/>
        </w:rPr>
        <w:t>●</w:t>
      </w:r>
      <w:r>
        <w:tab/>
      </w:r>
      <w:r>
        <w:rPr>
          <w:rFonts w:ascii="Calibri" w:hAnsi="Calibri" w:eastAsia="Calibri"/>
          <w:b w:val="0"/>
          <w:i w:val="0"/>
          <w:color w:val="FFFFFF"/>
          <w:sz w:val="16"/>
        </w:rPr>
        <w:t xml:space="preserve">Other jurisdictions: Bulgaria, Hong Kong (China), Romania, Chinese Taipei. </w:t>
      </w:r>
    </w:p>
    <w:p>
      <w:pPr>
        <w:autoSpaceDN w:val="0"/>
        <w:autoSpaceDE w:val="0"/>
        <w:widowControl/>
        <w:spacing w:line="245" w:lineRule="auto" w:before="230" w:after="0"/>
        <w:ind w:left="144" w:right="0" w:firstLine="0"/>
        <w:jc w:val="left"/>
      </w:pPr>
      <w:r>
        <w:rPr>
          <w:rFonts w:ascii="Calibri" w:hAnsi="Calibri" w:eastAsia="Calibri"/>
          <w:b w:val="0"/>
          <w:i w:val="0"/>
          <w:color w:val="FFFFFF"/>
          <w:sz w:val="16"/>
        </w:rPr>
        <w:t xml:space="preserve">Data may cover insurance companies subject to Solvency II quarterly reporting requirements only and exclude the smallest insurance companies for </w:t>
      </w:r>
      <w:r>
        <w:rPr>
          <w:rFonts w:ascii="Calibri" w:hAnsi="Calibri" w:eastAsia="Calibri"/>
          <w:b w:val="0"/>
          <w:i w:val="0"/>
          <w:color w:val="FFFFFF"/>
          <w:sz w:val="16"/>
        </w:rPr>
        <w:t xml:space="preserve">some jurisdictions. </w:t>
      </w:r>
    </w:p>
    <w:p>
      <w:pPr>
        <w:autoSpaceDN w:val="0"/>
        <w:autoSpaceDE w:val="0"/>
        <w:widowControl/>
        <w:spacing w:line="245" w:lineRule="auto" w:before="232" w:after="0"/>
        <w:ind w:left="144" w:right="0" w:firstLine="0"/>
        <w:jc w:val="left"/>
      </w:pPr>
      <w:r>
        <w:rPr>
          <w:rFonts w:ascii="Calibri" w:hAnsi="Calibri" w:eastAsia="Calibri"/>
          <w:b w:val="0"/>
          <w:i w:val="0"/>
          <w:color w:val="FFFFFF"/>
          <w:sz w:val="16"/>
        </w:rPr>
        <w:t xml:space="preserve">Data for Hong Kong (China) and Chinese Taipei include branches and agencies of foreign undertakings. Data for Ireland, Latvia, Lithuania include </w:t>
      </w:r>
      <w:r>
        <w:rPr>
          <w:rFonts w:ascii="Calibri" w:hAnsi="Calibri" w:eastAsia="Calibri"/>
          <w:b w:val="0"/>
          <w:i w:val="0"/>
          <w:color w:val="FFFFFF"/>
          <w:sz w:val="16"/>
        </w:rPr>
        <w:t xml:space="preserve">business abroad. </w:t>
      </w:r>
    </w:p>
    <w:p>
      <w:pPr>
        <w:autoSpaceDN w:val="0"/>
        <w:autoSpaceDE w:val="0"/>
        <w:widowControl/>
        <w:spacing w:line="245" w:lineRule="auto" w:before="230" w:after="0"/>
        <w:ind w:left="144" w:right="130" w:firstLine="0"/>
        <w:jc w:val="both"/>
      </w:pPr>
      <w:r>
        <w:rPr>
          <w:rFonts w:ascii="Calibri" w:hAnsi="Calibri" w:eastAsia="Calibri"/>
          <w:b w:val="0"/>
          <w:i w:val="0"/>
          <w:color w:val="FFFFFF"/>
          <w:sz w:val="16"/>
        </w:rPr>
        <w:t xml:space="preserve">Insurance companies may carry out life insurance activities only (i.e. life insurers), non-life insurance activities (i.e. non-life insurers) or both (i.e. </w:t>
      </w:r>
      <w:r>
        <w:rPr>
          <w:rFonts w:ascii="Calibri" w:hAnsi="Calibri" w:eastAsia="Calibri"/>
          <w:b w:val="0"/>
          <w:i w:val="0"/>
          <w:color w:val="FFFFFF"/>
          <w:sz w:val="16"/>
        </w:rPr>
        <w:t xml:space="preserve">composite insurers). In some jurisdictions, some insurance companies that are considered as life insurers (respectively non-life insurers) can carry </w:t>
      </w:r>
      <w:r>
        <w:rPr>
          <w:rFonts w:ascii="Calibri" w:hAnsi="Calibri" w:eastAsia="Calibri"/>
          <w:b w:val="0"/>
          <w:i w:val="0"/>
          <w:color w:val="FFFFFF"/>
          <w:sz w:val="16"/>
        </w:rPr>
        <w:t xml:space="preserve">out some specific non-life (respectively life) activities on an ancillary basis. </w:t>
      </w:r>
    </w:p>
    <w:p>
      <w:pPr>
        <w:autoSpaceDN w:val="0"/>
        <w:autoSpaceDE w:val="0"/>
        <w:widowControl/>
        <w:spacing w:line="245" w:lineRule="auto" w:before="230" w:after="0"/>
        <w:ind w:left="144" w:right="0" w:firstLine="0"/>
        <w:jc w:val="left"/>
      </w:pPr>
      <w:r>
        <w:rPr>
          <w:rFonts w:ascii="Calibri" w:hAnsi="Calibri" w:eastAsia="Calibri"/>
          <w:b w:val="0"/>
          <w:i w:val="0"/>
          <w:color w:val="FFFFFF"/>
          <w:sz w:val="16"/>
        </w:rPr>
        <w:t xml:space="preserve">Data on gross premiums written refer to insurance revenue instead for Canada. Data on gross claims paid refer instead to: insurance service expenses </w:t>
      </w:r>
      <w:r>
        <w:rPr>
          <w:rFonts w:ascii="Calibri" w:hAnsi="Calibri" w:eastAsia="Calibri"/>
          <w:b w:val="0"/>
          <w:i w:val="0"/>
          <w:color w:val="FFFFFF"/>
          <w:sz w:val="16"/>
        </w:rPr>
        <w:t xml:space="preserve">for Canada; claims incurred for Bulgaria, Greece, Romania. </w:t>
      </w:r>
    </w:p>
    <w:p>
      <w:pPr>
        <w:autoSpaceDN w:val="0"/>
        <w:autoSpaceDE w:val="0"/>
        <w:widowControl/>
        <w:spacing w:line="245" w:lineRule="auto" w:before="230" w:after="0"/>
        <w:ind w:left="144" w:right="130" w:firstLine="0"/>
        <w:jc w:val="both"/>
      </w:pPr>
      <w:r>
        <w:rPr>
          <w:rFonts w:ascii="Calibri" w:hAnsi="Calibri" w:eastAsia="Calibri"/>
          <w:b/>
          <w:i/>
          <w:color w:val="FFFFFF"/>
          <w:sz w:val="16"/>
        </w:rPr>
        <w:t>Figure 1</w:t>
      </w:r>
      <w:r>
        <w:rPr>
          <w:rFonts w:ascii="Calibri" w:hAnsi="Calibri" w:eastAsia="Calibri"/>
          <w:b w:val="0"/>
          <w:i/>
          <w:color w:val="FFFFFF"/>
          <w:sz w:val="16"/>
        </w:rPr>
        <w:t>:</w:t>
      </w:r>
      <w:r>
        <w:rPr>
          <w:rFonts w:ascii="Calibri" w:hAnsi="Calibri" w:eastAsia="Calibri"/>
          <w:b w:val="0"/>
          <w:i w:val="0"/>
          <w:color w:val="FFFFFF"/>
          <w:sz w:val="16"/>
        </w:rPr>
        <w:t xml:space="preserve"> Results are not shown for Chinese Taipei where only the nominal growth rates are available. Gross premiums written increased in nominal </w:t>
      </w:r>
      <w:r>
        <w:rPr>
          <w:rFonts w:ascii="Calibri" w:hAnsi="Calibri" w:eastAsia="Calibri"/>
          <w:b w:val="0"/>
          <w:i w:val="0"/>
          <w:color w:val="FFFFFF"/>
          <w:sz w:val="16"/>
        </w:rPr>
        <w:t xml:space="preserve">terms by 10.9% while gross claims paid declined by 36.2% in Chinese Taipei. Growth rates are calculated over June 2023-June 2024 for Paraguay. </w:t>
      </w:r>
      <w:r>
        <w:rPr>
          <w:rFonts w:ascii="Calibri" w:hAnsi="Calibri" w:eastAsia="Calibri"/>
          <w:b w:val="0"/>
          <w:i w:val="0"/>
          <w:color w:val="FFFFFF"/>
          <w:sz w:val="16"/>
        </w:rPr>
        <w:t xml:space="preserve">Gross claims paid declined by 72.7% in nominal terms (73.2% in real terms) in Slovenia (not shown for readability purposes). </w:t>
      </w:r>
    </w:p>
    <w:p>
      <w:pPr>
        <w:autoSpaceDN w:val="0"/>
        <w:autoSpaceDE w:val="0"/>
        <w:widowControl/>
        <w:spacing w:line="245" w:lineRule="auto" w:before="228" w:after="0"/>
        <w:ind w:left="144" w:right="130" w:firstLine="0"/>
        <w:jc w:val="both"/>
      </w:pPr>
      <w:r>
        <w:rPr>
          <w:rFonts w:ascii="Calibri" w:hAnsi="Calibri" w:eastAsia="Calibri"/>
          <w:b/>
          <w:i/>
          <w:color w:val="FFFFFF"/>
          <w:sz w:val="16"/>
        </w:rPr>
        <w:t>Figure 2</w:t>
      </w:r>
      <w:r>
        <w:rPr>
          <w:rFonts w:ascii="Calibri" w:hAnsi="Calibri" w:eastAsia="Calibri"/>
          <w:b w:val="0"/>
          <w:i/>
          <w:color w:val="FFFFFF"/>
          <w:sz w:val="16"/>
        </w:rPr>
        <w:t>:</w:t>
      </w:r>
      <w:r>
        <w:rPr>
          <w:rFonts w:ascii="Calibri" w:hAnsi="Calibri" w:eastAsia="Calibri"/>
          <w:b w:val="0"/>
          <w:i w:val="0"/>
          <w:color w:val="FFFFFF"/>
          <w:sz w:val="16"/>
        </w:rPr>
        <w:t xml:space="preserve"> Results are not shown for Chinese Taipei where only the nominal growth rates are available. Gross premiums written increased in nominal </w:t>
      </w:r>
      <w:r>
        <w:rPr>
          <w:rFonts w:ascii="Calibri" w:hAnsi="Calibri" w:eastAsia="Calibri"/>
          <w:b w:val="0"/>
          <w:i w:val="0"/>
          <w:color w:val="FFFFFF"/>
          <w:sz w:val="16"/>
        </w:rPr>
        <w:t xml:space="preserve">terms by 11.5% while gross claims paid increased by 5.7% in Chinese Taipei. Growth rates are calculated over June 2023-June 2024 for Paraguay. </w:t>
      </w:r>
      <w:r>
        <w:rPr>
          <w:rFonts w:ascii="Calibri" w:hAnsi="Calibri" w:eastAsia="Calibri"/>
          <w:b w:val="0"/>
          <w:i w:val="0"/>
          <w:color w:val="FFFFFF"/>
          <w:sz w:val="16"/>
        </w:rPr>
        <w:t xml:space="preserve">Gross claims paid increased by 100.8% in nominal terms (97.1% in real terms) in Slovenia (not shown for readability purposes). </w:t>
      </w:r>
    </w:p>
    <w:p>
      <w:pPr>
        <w:autoSpaceDN w:val="0"/>
        <w:autoSpaceDE w:val="0"/>
        <w:widowControl/>
        <w:spacing w:line="245" w:lineRule="auto" w:before="230" w:after="0"/>
        <w:ind w:left="144" w:right="130" w:firstLine="0"/>
        <w:jc w:val="both"/>
      </w:pPr>
      <w:r>
        <w:rPr>
          <w:rFonts w:ascii="Calibri" w:hAnsi="Calibri" w:eastAsia="Calibri"/>
          <w:b/>
          <w:i/>
          <w:color w:val="FFFFFF"/>
          <w:sz w:val="16"/>
        </w:rPr>
        <w:t>Figure 3</w:t>
      </w:r>
      <w:r>
        <w:rPr>
          <w:rFonts w:ascii="Calibri" w:hAnsi="Calibri" w:eastAsia="Calibri"/>
          <w:b w:val="0"/>
          <w:i/>
          <w:color w:val="FFFFFF"/>
          <w:sz w:val="16"/>
        </w:rPr>
        <w:t>:</w:t>
      </w:r>
      <w:r>
        <w:rPr>
          <w:rFonts w:ascii="Calibri" w:hAnsi="Calibri" w:eastAsia="Calibri"/>
          <w:b w:val="0"/>
          <w:i w:val="0"/>
          <w:color w:val="FFFFFF"/>
          <w:sz w:val="16"/>
        </w:rPr>
        <w:t xml:space="preserve"> The average investment rates of return are calculated over the period Dec. 2023 – Dec. 2024 for all jurisdictions. These rates include </w:t>
      </w:r>
      <w:r>
        <w:rPr>
          <w:rFonts w:ascii="Calibri" w:hAnsi="Calibri" w:eastAsia="Calibri"/>
          <w:b w:val="0"/>
          <w:i w:val="0"/>
          <w:color w:val="FFFFFF"/>
          <w:sz w:val="16"/>
        </w:rPr>
        <w:t xml:space="preserve">realised and unrealised (but recognised) gains and losses plus income, after subtracting any investment management costs. The average real net </w:t>
      </w:r>
      <w:r>
        <w:rPr>
          <w:rFonts w:ascii="Calibri" w:hAnsi="Calibri" w:eastAsia="Calibri"/>
          <w:b w:val="0"/>
          <w:i w:val="0"/>
          <w:color w:val="FFFFFF"/>
          <w:sz w:val="16"/>
        </w:rPr>
        <w:t xml:space="preserve">investment rates of return are calculated based on the nominal net investment rates of return reported by jurisdictions and the variation of the </w:t>
      </w:r>
      <w:r>
        <w:rPr>
          <w:rFonts w:ascii="Calibri" w:hAnsi="Calibri" w:eastAsia="Calibri"/>
          <w:b w:val="0"/>
          <w:i w:val="0"/>
          <w:color w:val="FFFFFF"/>
          <w:sz w:val="16"/>
        </w:rPr>
        <w:t xml:space="preserve">consumer price index over the same period. The calculation excludes the investment gains/losses on assets held for index-linked and unit-linked </w:t>
      </w:r>
      <w:r>
        <w:rPr>
          <w:rFonts w:ascii="Calibri" w:hAnsi="Calibri" w:eastAsia="Calibri"/>
          <w:b w:val="0"/>
          <w:i w:val="0"/>
          <w:color w:val="FFFFFF"/>
          <w:sz w:val="16"/>
        </w:rPr>
        <w:t xml:space="preserve">contracts where the policyholder bears the investment risk. In Chinese Taipei, life and non-life insurers both achieved a 4% and 3.3% nominal </w:t>
      </w:r>
      <w:r>
        <w:rPr>
          <w:rFonts w:ascii="Calibri" w:hAnsi="Calibri" w:eastAsia="Calibri"/>
          <w:b w:val="0"/>
          <w:i w:val="0"/>
          <w:color w:val="FFFFFF"/>
          <w:sz w:val="16"/>
        </w:rPr>
        <w:t xml:space="preserve">investment rate of return respectively (real returns not available). </w:t>
      </w:r>
    </w:p>
    <w:p>
      <w:pPr>
        <w:autoSpaceDN w:val="0"/>
        <w:autoSpaceDE w:val="0"/>
        <w:widowControl/>
        <w:spacing w:line="245" w:lineRule="auto" w:before="230" w:after="0"/>
        <w:ind w:left="144" w:right="0" w:firstLine="0"/>
        <w:jc w:val="left"/>
      </w:pPr>
      <w:r>
        <w:rPr>
          <w:rFonts w:ascii="Calibri" w:hAnsi="Calibri" w:eastAsia="Calibri"/>
          <w:b/>
          <w:i/>
          <w:color w:val="FFFFFF"/>
          <w:sz w:val="16"/>
        </w:rPr>
        <w:t>Figure 4</w:t>
      </w:r>
      <w:r>
        <w:rPr>
          <w:rFonts w:ascii="Calibri" w:hAnsi="Calibri" w:eastAsia="Calibri"/>
          <w:b w:val="0"/>
          <w:i/>
          <w:color w:val="FFFFFF"/>
          <w:sz w:val="16"/>
        </w:rPr>
        <w:t>:</w:t>
      </w:r>
      <w:r>
        <w:rPr>
          <w:rFonts w:ascii="Calibri" w:hAnsi="Calibri" w:eastAsia="Calibri"/>
          <w:b w:val="0"/>
          <w:i w:val="0"/>
          <w:color w:val="FFFFFF"/>
          <w:sz w:val="16"/>
        </w:rPr>
        <w:t xml:space="preserve"> Data refer to end-2024 for all jurisdictions, except for Paraguay (end June 2024) and the United Kingdom (end Q3-2024). The GIS database </w:t>
      </w:r>
      <w:r>
        <w:rPr>
          <w:rFonts w:ascii="Calibri" w:hAnsi="Calibri" w:eastAsia="Calibri"/>
          <w:b w:val="0"/>
          <w:i w:val="0"/>
          <w:color w:val="FFFFFF"/>
          <w:sz w:val="16"/>
        </w:rPr>
        <w:t xml:space="preserve">gathers information on the investments of insurance companies in collective investment schemes (CIS) and the look-through of these investments </w:t>
      </w:r>
      <w:r>
        <w:rPr>
          <w:rFonts w:ascii="Calibri" w:hAnsi="Calibri" w:eastAsia="Calibri"/>
          <w:b w:val="0"/>
          <w:i w:val="0"/>
          <w:color w:val="FFFFFF"/>
          <w:sz w:val="16"/>
        </w:rPr>
        <w:t xml:space="preserve">in equities, bills and bonds, cash and deposits and other instruments or vehicles. Data on asset allocation in this figure show both direct investments </w:t>
      </w:r>
      <w:r>
        <w:rPr>
          <w:rFonts w:ascii="Calibri" w:hAnsi="Calibri" w:eastAsia="Calibri"/>
          <w:b w:val="0"/>
          <w:i w:val="0"/>
          <w:color w:val="FFFFFF"/>
          <w:sz w:val="16"/>
        </w:rPr>
        <w:t xml:space="preserve">of insurance companies in equities, bills and bonds and cash and deposits, and their indirect investments in these categories through CIS when the </w:t>
      </w:r>
      <w:r>
        <w:rPr>
          <w:rFonts w:ascii="Calibri" w:hAnsi="Calibri" w:eastAsia="Calibri"/>
          <w:b w:val="0"/>
          <w:i w:val="0"/>
          <w:color w:val="FFFFFF"/>
          <w:sz w:val="16"/>
        </w:rPr>
        <w:t xml:space="preserve">look-through of CIS investments is available. When the look-through is not available, investments in CIS are shown in a separate category and data </w:t>
      </w:r>
      <w:r>
        <w:rPr>
          <w:rFonts w:ascii="Calibri" w:hAnsi="Calibri" w:eastAsia="Calibri"/>
          <w:b w:val="0"/>
          <w:i w:val="0"/>
          <w:color w:val="FFFFFF"/>
          <w:sz w:val="16"/>
        </w:rPr>
        <w:t xml:space="preserve">in the figure for jurisdictions in this case only show direct investments of insurance companies in equities, bills and bonds and cash and deposits. </w:t>
      </w:r>
      <w:r>
        <w:rPr>
          <w:rFonts w:ascii="Calibri" w:hAnsi="Calibri" w:eastAsia="Calibri"/>
          <w:b w:val="0"/>
          <w:i w:val="0"/>
          <w:color w:val="FFFFFF"/>
          <w:sz w:val="16"/>
        </w:rPr>
        <w:t>Negative values in some categories are excluded from the calculations of the asset allocation. Investments of insurance companies related to unit-</w:t>
      </w:r>
      <w:r>
        <w:rPr>
          <w:rFonts w:ascii="Calibri" w:hAnsi="Calibri" w:eastAsia="Calibri"/>
          <w:b w:val="0"/>
          <w:i w:val="0"/>
          <w:color w:val="FFFFFF"/>
          <w:sz w:val="16"/>
        </w:rPr>
        <w:t>linked products are excluded from the calculations of the asset allocation.</w:t>
      </w:r>
    </w:p>
    <w:p>
      <w:pPr>
        <w:autoSpaceDN w:val="0"/>
        <w:autoSpaceDE w:val="0"/>
        <w:widowControl/>
        <w:spacing w:line="134" w:lineRule="exact" w:before="3164" w:after="0"/>
        <w:ind w:left="70" w:right="0" w:firstLine="0"/>
        <w:jc w:val="left"/>
      </w:pPr>
      <w:r>
        <w:rPr>
          <w:rFonts w:ascii="ArialMT" w:hAnsi="ArialMT" w:eastAsia="ArialMT"/>
          <w:b w:val="0"/>
          <w:i w:val="0"/>
          <w:color w:val="000000"/>
          <w:sz w:val="12"/>
        </w:rPr>
        <w:t xml:space="preserve">© OECD, 2025. </w:t>
      </w:r>
    </w:p>
    <w:p>
      <w:pPr>
        <w:autoSpaceDN w:val="0"/>
        <w:autoSpaceDE w:val="0"/>
        <w:widowControl/>
        <w:spacing w:line="136" w:lineRule="exact" w:before="4" w:after="0"/>
        <w:ind w:left="70" w:right="0" w:firstLine="0"/>
        <w:jc w:val="left"/>
      </w:pPr>
      <w:r>
        <w:rPr>
          <w:rFonts w:ascii="ArialMT" w:hAnsi="ArialMT" w:eastAsia="ArialMT"/>
          <w:b w:val="0"/>
          <w:i w:val="0"/>
          <w:color w:val="000000"/>
          <w:sz w:val="12"/>
        </w:rPr>
        <w:t xml:space="preserve">This work is published under the responsibility of the Secretary-General of the OECD. The opinions expressed and arguments employed herein do not necessarily reflect the official </w:t>
      </w:r>
      <w:r>
        <w:rPr>
          <w:rFonts w:ascii="ArialMT" w:hAnsi="ArialMT" w:eastAsia="ArialMT"/>
          <w:b w:val="0"/>
          <w:i w:val="0"/>
          <w:color w:val="000000"/>
          <w:sz w:val="12"/>
        </w:rPr>
        <w:t xml:space="preserve">views of the Member countries of the OECD. </w:t>
      </w:r>
    </w:p>
    <w:p>
      <w:pPr>
        <w:autoSpaceDN w:val="0"/>
        <w:autoSpaceDE w:val="0"/>
        <w:widowControl/>
        <w:spacing w:line="138" w:lineRule="exact" w:before="2" w:after="0"/>
        <w:ind w:left="70" w:right="0" w:firstLine="0"/>
        <w:jc w:val="left"/>
      </w:pPr>
      <w:r>
        <w:rPr>
          <w:rFonts w:ascii="ArialMT" w:hAnsi="ArialMT" w:eastAsia="ArialMT"/>
          <w:b w:val="0"/>
          <w:i w:val="0"/>
          <w:color w:val="000000"/>
          <w:sz w:val="12"/>
        </w:rPr>
        <w:t xml:space="preserve">This document and any map included herein are without prejudice to the status of or sovereignty over any territory, to the delimitation of international frontiers and boundaries and to the </w:t>
      </w:r>
      <w:r>
        <w:rPr>
          <w:rFonts w:ascii="ArialMT" w:hAnsi="ArialMT" w:eastAsia="ArialMT"/>
          <w:b w:val="0"/>
          <w:i w:val="0"/>
          <w:color w:val="000000"/>
          <w:sz w:val="12"/>
        </w:rPr>
        <w:t xml:space="preserve">name of any territory, city or area. The statistical data for Israel are supplied by and under the responsibility of the relevant Israeli authorities. The use of such data by the OECD is </w:t>
      </w:r>
      <w:r>
        <w:rPr>
          <w:rFonts w:ascii="ArialMT" w:hAnsi="ArialMT" w:eastAsia="ArialMT"/>
          <w:b w:val="0"/>
          <w:i w:val="0"/>
          <w:color w:val="000000"/>
          <w:sz w:val="12"/>
        </w:rPr>
        <w:t xml:space="preserve">without prejudice to the status of the Golan Heights, East Jerusalem and Israeli settlements in the West Bank under the terms of international law. </w:t>
      </w:r>
    </w:p>
    <w:p>
      <w:pPr>
        <w:autoSpaceDN w:val="0"/>
        <w:autoSpaceDE w:val="0"/>
        <w:widowControl/>
        <w:spacing w:line="197" w:lineRule="auto" w:before="512" w:after="0"/>
        <w:ind w:left="0" w:right="4910" w:firstLine="0"/>
        <w:jc w:val="right"/>
      </w:pPr>
      <w:r>
        <w:rPr>
          <w:rFonts w:ascii="Calibri" w:hAnsi="Calibri" w:eastAsia="Calibri"/>
          <w:b w:val="0"/>
          <w:i w:val="0"/>
          <w:color w:val="000000"/>
          <w:sz w:val="22"/>
        </w:rPr>
        <w:t xml:space="preserve">8 </w:t>
      </w:r>
    </w:p>
    <w:sectPr w:rsidR="00FC693F" w:rsidRPr="0006063C" w:rsidSect="00034616">
      <w:type w:val="continuous"/>
      <w:pgSz w:w="11906" w:h="16841"/>
      <w:pgMar w:top="422" w:right="938" w:bottom="418" w:left="1116" w:header="720" w:footer="720"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s://www.oecd.org/en/topics/sub-issues/insurance.html" TargetMode="External"/><Relationship Id="rId12" Type="http://schemas.openxmlformats.org/officeDocument/2006/relationships/hyperlink" Target="mailto:%20sally.day-hanotiaux@oecd.org" TargetMode="External"/><Relationship Id="rId13" Type="http://schemas.openxmlformats.org/officeDocument/2006/relationships/hyperlink" Target="mailto:%20romain.despalins@oecd.org"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www.oecd.org/en/publications/global-insurance-market-trends-2024_5b740371-en.html" TargetMode="External"/><Relationship Id="rId19" Type="http://schemas.openxmlformats.org/officeDocument/2006/relationships/hyperlink" Target="https://www.swissre.com/institute/research/sigma-research/sigma-2025-01-natural-catastrophes-trend.html" TargetMode="External"/><Relationship Id="rId20" Type="http://schemas.openxmlformats.org/officeDocument/2006/relationships/hyperlink" Target="https://www.oecd.org/en/data/insights/statistical-releases/2025/02/consumer-prices-oecd-updated-5-february-2025.html#:~:text=Annual%20OECD%20inflation%20stood%20at,Figure%203%20and%20Table%202)." TargetMode="External"/><Relationship Id="rId21" Type="http://schemas.openxmlformats.org/officeDocument/2006/relationships/hyperlink" Target="https://www.oecd.org/en/publications/global-insurance-market-trends-2023_e141d5ff-en.html" TargetMode="External"/><Relationship Id="rId22" Type="http://schemas.openxmlformats.org/officeDocument/2006/relationships/hyperlink" Target="https://www.oecd.org/en/publications/2025/03/global-debt-report-2025_bab6b51e.html" TargetMode="External"/><Relationship Id="rId23" Type="http://schemas.openxmlformats.org/officeDocument/2006/relationships/image" Target="media/image7.png"/><Relationship Id="rId24" Type="http://schemas.openxmlformats.org/officeDocument/2006/relationships/hyperlink" Target="https://acpr.banque-france.fr/fr/publications-et-statistiques/publications/ndeg-170-le-marche-de-lassurance-vie-en-2024#:~:text=Le%20taux%20moyen%20de%20revalorisation,%2C4%20%25%20en%20f%C3%A9vrier%202025." TargetMode="External"/><Relationship Id="rId25" Type="http://schemas.openxmlformats.org/officeDocument/2006/relationships/hyperlink" Target="https://www.msci.com/documents/10199/178e6643-6ae6-47b9-82be-e1fc565ededb" TargetMode="External"/><Relationship Id="rId26" Type="http://schemas.openxmlformats.org/officeDocument/2006/relationships/hyperlink" Target="https://www.nautadutilh.com/en/insights/the-dutch-future-pensions-act-five-things-you-need-to-know/" TargetMode="External"/><Relationship Id="rId27" Type="http://schemas.openxmlformats.org/officeDocument/2006/relationships/image" Target="media/image8.png"/><Relationship Id="rId2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