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594" w:after="0"/>
        <w:ind w:left="0" w:right="54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365250" cy="3225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32258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342900</wp:posOffset>
            </wp:positionH>
            <wp:positionV relativeFrom="page">
              <wp:posOffset>3975100</wp:posOffset>
            </wp:positionV>
            <wp:extent cx="1955800" cy="25146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51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2613660</wp:posOffset>
            </wp:positionH>
            <wp:positionV relativeFrom="page">
              <wp:posOffset>3977640</wp:posOffset>
            </wp:positionV>
            <wp:extent cx="1896110" cy="108137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10813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530" w:lineRule="exact" w:before="668" w:after="194"/>
        <w:ind w:left="1152" w:right="1728" w:firstLine="0"/>
        <w:jc w:val="center"/>
      </w:pPr>
      <w:r>
        <w:rPr>
          <w:rFonts w:ascii="Ballinger" w:hAnsi="Ballinger" w:eastAsia="Ballinger"/>
          <w:b/>
          <w:i w:val="0"/>
          <w:color w:val="04629A"/>
          <w:sz w:val="65"/>
        </w:rPr>
        <w:t xml:space="preserve">PENSION MARKETS IN FOCUS </w:t>
      </w:r>
      <w:r>
        <w:rPr>
          <w:rFonts w:ascii="Ballinger" w:hAnsi="Ballinger" w:eastAsia="Ballinger"/>
          <w:b w:val="0"/>
          <w:i w:val="0"/>
          <w:color w:val="4D4D4D"/>
          <w:sz w:val="56"/>
        </w:rPr>
        <w:t>Preliminary 2024 data - June 2025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0.0" w:type="dxa"/>
      </w:tblPr>
      <w:tblGrid>
        <w:gridCol w:w="2256"/>
        <w:gridCol w:w="2256"/>
        <w:gridCol w:w="2256"/>
        <w:gridCol w:w="2256"/>
      </w:tblGrid>
      <w:tr>
        <w:trPr>
          <w:trHeight w:hRule="exact" w:val="3240"/>
        </w:trPr>
        <w:tc>
          <w:tcPr>
            <w:tcW w:type="dxa" w:w="1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70840" cy="174243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40" cy="17424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02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0" w:val="left"/>
              </w:tabs>
              <w:autoSpaceDE w:val="0"/>
              <w:widowControl/>
              <w:spacing w:line="328" w:lineRule="exact" w:before="178" w:after="0"/>
              <w:ind w:left="20" w:right="1872" w:firstLine="0"/>
              <w:jc w:val="left"/>
            </w:pPr>
            <w:r>
              <w:rPr>
                <w:rFonts w:ascii="SourceSans3" w:hAnsi="SourceSans3" w:eastAsia="SourceSans3"/>
                <w:b/>
                <w:i w:val="0"/>
                <w:color w:val="2E2E2E"/>
                <w:sz w:val="32"/>
              </w:rPr>
              <w:t xml:space="preserve">Pension assets continued to grow in 2024, exceeding the </w:t>
            </w:r>
            <w:r>
              <w:rPr>
                <w:rFonts w:ascii="SourceSans3" w:hAnsi="SourceSans3" w:eastAsia="SourceSans3"/>
                <w:b/>
                <w:i w:val="0"/>
                <w:color w:val="2E2E2E"/>
                <w:sz w:val="32"/>
              </w:rPr>
              <w:t>previous record of 2021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E2E2E"/>
                <w:sz w:val="26"/>
              </w:rPr>
              <w:t>•</w:t>
            </w:r>
            <w:r>
              <w:rPr>
                <w:rFonts w:ascii="SourceSans3" w:hAnsi="SourceSans3" w:eastAsia="SourceSans3"/>
                <w:b w:val="0"/>
                <w:i w:val="0"/>
                <w:color w:val="2E2E2E"/>
                <w:sz w:val="26"/>
              </w:rPr>
              <w:t xml:space="preserve"> Assets earmarked for retirement continued to rise in 2024, supported by </w:t>
            </w:r>
            <w:r>
              <w:tab/>
            </w:r>
            <w:r>
              <w:rPr>
                <w:rFonts w:ascii="SourceSans3" w:hAnsi="SourceSans3" w:eastAsia="SourceSans3"/>
                <w:b w:val="0"/>
                <w:i w:val="0"/>
                <w:color w:val="2E2E2E"/>
                <w:sz w:val="26"/>
              </w:rPr>
              <w:t>investment gains on equity holdings.</w:t>
            </w:r>
          </w:p>
          <w:p>
            <w:pPr>
              <w:autoSpaceDN w:val="0"/>
              <w:tabs>
                <w:tab w:pos="240" w:val="left"/>
              </w:tabs>
              <w:autoSpaceDE w:val="0"/>
              <w:widowControl/>
              <w:spacing w:line="310" w:lineRule="exact" w:before="32" w:after="0"/>
              <w:ind w:left="20" w:right="129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E2E2E"/>
                <w:sz w:val="26"/>
              </w:rPr>
              <w:t>•</w:t>
            </w:r>
            <w:r>
              <w:rPr>
                <w:rFonts w:ascii="SourceSans3" w:hAnsi="SourceSans3" w:eastAsia="SourceSans3"/>
                <w:b w:val="0"/>
                <w:i w:val="0"/>
                <w:color w:val="2E2E2E"/>
                <w:sz w:val="26"/>
              </w:rPr>
              <w:t xml:space="preserve"> Nominal investment rates of return were positive for all but one participating </w:t>
            </w:r>
            <w:r>
              <w:tab/>
            </w:r>
            <w:r>
              <w:rPr>
                <w:rFonts w:ascii="SourceSans3" w:hAnsi="SourceSans3" w:eastAsia="SourceSans3"/>
                <w:b w:val="0"/>
                <w:i w:val="0"/>
                <w:color w:val="2E2E2E"/>
                <w:sz w:val="26"/>
              </w:rPr>
              <w:t>jurisdiction.</w:t>
            </w:r>
          </w:p>
          <w:p>
            <w:pPr>
              <w:autoSpaceDN w:val="0"/>
              <w:tabs>
                <w:tab w:pos="240" w:val="left"/>
              </w:tabs>
              <w:autoSpaceDE w:val="0"/>
              <w:widowControl/>
              <w:spacing w:line="308" w:lineRule="exact" w:before="36" w:after="0"/>
              <w:ind w:left="20" w:right="115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E2E2E"/>
                <w:sz w:val="26"/>
              </w:rPr>
              <w:t>•</w:t>
            </w:r>
            <w:r>
              <w:rPr>
                <w:rFonts w:ascii="SourceSans3" w:hAnsi="SourceSans3" w:eastAsia="SourceSans3"/>
                <w:b w:val="0"/>
                <w:i w:val="0"/>
                <w:color w:val="2E2E2E"/>
                <w:sz w:val="26"/>
              </w:rPr>
              <w:t xml:space="preserve"> The amount of assets earmarked for retirement at the end of 2024 exceeds the </w:t>
            </w:r>
            <w:r>
              <w:tab/>
            </w:r>
            <w:r>
              <w:rPr>
                <w:rFonts w:ascii="SourceSans3" w:hAnsi="SourceSans3" w:eastAsia="SourceSans3"/>
                <w:b w:val="0"/>
                <w:i w:val="0"/>
                <w:color w:val="2E2E2E"/>
                <w:sz w:val="26"/>
              </w:rPr>
              <w:t>amount at the end of 2021, offsetting 2022 losses.</w:t>
            </w:r>
          </w:p>
        </w:tc>
      </w:tr>
      <w:tr>
        <w:trPr>
          <w:trHeight w:hRule="exact" w:val="812"/>
        </w:trPr>
        <w:tc>
          <w:tcPr>
            <w:tcW w:type="dxa" w:w="351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524" w:after="0"/>
              <w:ind w:left="566" w:right="0" w:firstLine="0"/>
              <w:jc w:val="left"/>
            </w:pPr>
            <w:r>
              <w:rPr>
                <w:w w:val="101.79999669392903"/>
                <w:rFonts w:ascii="SourceSans3" w:hAnsi="SourceSans3" w:eastAsia="SourceSans3"/>
                <w:b/>
                <w:i w:val="0"/>
                <w:color w:val="FFFFFF"/>
                <w:sz w:val="24"/>
              </w:rPr>
              <w:t>IN THIS ISSUE</w:t>
            </w:r>
          </w:p>
        </w:tc>
        <w:tc>
          <w:tcPr>
            <w:tcW w:type="dxa" w:w="307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072"/>
            </w:tblGrid>
            <w:tr>
              <w:trPr>
                <w:trHeight w:hRule="exact" w:val="798"/>
              </w:trPr>
              <w:tc>
                <w:tcPr>
                  <w:tcW w:type="dxa" w:w="3072"/>
                  <w:tcBorders/>
                  <w:shd w:fill="04619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500" w:after="0"/>
                    <w:ind w:left="596" w:right="0" w:firstLine="0"/>
                    <w:jc w:val="left"/>
                  </w:pPr>
                  <w:r>
                    <w:rPr>
                      <w:w w:val="101.79999669392903"/>
                      <w:rFonts w:ascii="SourceSans3" w:hAnsi="SourceSans3" w:eastAsia="SourceSans3"/>
                      <w:b/>
                      <w:i w:val="0"/>
                      <w:color w:val="FFFFFF"/>
                      <w:sz w:val="24"/>
                    </w:rPr>
                    <w:t xml:space="preserve">GEOGRAPHICAL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61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774" w:right="0" w:firstLine="0"/>
              <w:jc w:val="left"/>
            </w:pPr>
            <w:r>
              <w:rPr>
                <w:w w:val="98.21999867757162"/>
                <w:rFonts w:ascii="SourceSans3" w:hAnsi="SourceSans3" w:eastAsia="SourceSans3"/>
                <w:b w:val="0"/>
                <w:i w:val="0"/>
                <w:color w:val="2E2E2E"/>
                <w:sz w:val="24"/>
              </w:rPr>
              <w:t xml:space="preserve">Nominal growth rate of pension </w:t>
            </w:r>
            <w:r>
              <w:rPr>
                <w:rFonts w:ascii="SourceSans3" w:hAnsi="SourceSans3" w:eastAsia="SourceSans3"/>
                <w:b/>
                <w:i w:val="0"/>
                <w:color w:val="04629A"/>
                <w:sz w:val="91"/>
              </w:rPr>
              <w:t>8.5%</w:t>
            </w:r>
          </w:p>
        </w:tc>
      </w:tr>
      <w:tr>
        <w:trPr>
          <w:trHeight w:hRule="exact" w:val="284"/>
        </w:trPr>
        <w:tc>
          <w:tcPr>
            <w:tcW w:type="dxa" w:w="4512"/>
            <w:gridSpan w:val="2"/>
            <w:vMerge/>
            <w:tcBorders/>
          </w:tcPr>
          <w:p/>
        </w:tc>
        <w:tc>
          <w:tcPr>
            <w:tcW w:type="dxa" w:w="307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596" w:right="0" w:firstLine="0"/>
              <w:jc w:val="left"/>
            </w:pPr>
            <w:r>
              <w:rPr>
                <w:w w:val="101.79999669392903"/>
                <w:rFonts w:ascii="SourceSans3" w:hAnsi="SourceSans3" w:eastAsia="SourceSans3"/>
                <w:b/>
                <w:i w:val="0"/>
                <w:color w:val="FFFFFF"/>
                <w:sz w:val="24"/>
              </w:rPr>
              <w:t>COVERAGE</w:t>
            </w:r>
          </w:p>
        </w:tc>
        <w:tc>
          <w:tcPr>
            <w:tcW w:type="dxa" w:w="2256"/>
            <w:vMerge/>
            <w:tcBorders/>
          </w:tcPr>
          <w:p/>
        </w:tc>
      </w:tr>
      <w:tr>
        <w:trPr>
          <w:trHeight w:hRule="exact" w:val="152"/>
        </w:trPr>
        <w:tc>
          <w:tcPr>
            <w:tcW w:type="dxa" w:w="351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0" w:after="0"/>
              <w:ind w:left="566" w:right="0" w:firstLine="0"/>
              <w:jc w:val="left"/>
            </w:pPr>
            <w:r>
              <w:rPr>
                <w:w w:val="101.79999669392903"/>
                <w:rFonts w:ascii="TimesNewRomanPSMT" w:hAnsi="TimesNewRomanPSMT" w:eastAsia="TimesNewRomanPSMT"/>
                <w:b w:val="0"/>
                <w:i w:val="0"/>
                <w:color w:val="FFFFFF"/>
                <w:sz w:val="24"/>
              </w:rPr>
              <w:t>•</w:t>
            </w:r>
            <w:r>
              <w:rPr>
                <w:w w:val="101.79999669392903"/>
                <w:rFonts w:ascii="SourceSans3" w:hAnsi="SourceSans3" w:eastAsia="SourceSans3"/>
                <w:b w:val="0"/>
                <w:i w:val="0"/>
                <w:color w:val="FFFFFF"/>
                <w:sz w:val="24"/>
              </w:rPr>
              <w:t xml:space="preserve"> Pension assets </w:t>
            </w:r>
          </w:p>
        </w:tc>
        <w:tc>
          <w:tcPr>
            <w:tcW w:type="dxa" w:w="2256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4512"/>
            <w:gridSpan w:val="2"/>
            <w:vMerge/>
            <w:tcBorders/>
          </w:tcPr>
          <w:p/>
        </w:tc>
        <w:tc>
          <w:tcPr>
            <w:tcW w:type="dxa" w:w="307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126" w:after="0"/>
              <w:ind w:left="596" w:right="0" w:firstLine="0"/>
              <w:jc w:val="left"/>
            </w:pPr>
            <w:r>
              <w:rPr>
                <w:w w:val="101.79999669392903"/>
                <w:rFonts w:ascii="TimesNewRomanPSMT" w:hAnsi="TimesNewRomanPSMT" w:eastAsia="TimesNewRomanPSMT"/>
                <w:b w:val="0"/>
                <w:i w:val="0"/>
                <w:color w:val="FFFFFF"/>
                <w:sz w:val="24"/>
              </w:rPr>
              <w:t>•</w:t>
            </w:r>
            <w:r>
              <w:rPr>
                <w:w w:val="101.79999669392903"/>
                <w:rFonts w:ascii="SourceSans3" w:hAnsi="SourceSans3" w:eastAsia="SourceSans3"/>
                <w:b w:val="0"/>
                <w:i w:val="0"/>
                <w:color w:val="FFFFFF"/>
                <w:sz w:val="24"/>
              </w:rPr>
              <w:t xml:space="preserve"> All 38 OECD </w:t>
            </w:r>
          </w:p>
        </w:tc>
        <w:tc>
          <w:tcPr>
            <w:tcW w:type="dxa" w:w="2256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4512"/>
            <w:gridSpan w:val="2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  <w:tc>
          <w:tcPr>
            <w:tcW w:type="dxa" w:w="461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140" w:right="0" w:firstLine="0"/>
              <w:jc w:val="left"/>
            </w:pPr>
            <w:r>
              <w:rPr>
                <w:w w:val="98.21999867757162"/>
                <w:rFonts w:ascii="SourceSans3" w:hAnsi="SourceSans3" w:eastAsia="SourceSans3"/>
                <w:b w:val="0"/>
                <w:i w:val="0"/>
                <w:color w:val="2E2E2E"/>
                <w:sz w:val="24"/>
              </w:rPr>
              <w:t xml:space="preserve">assets in the OECD since </w:t>
            </w:r>
          </w:p>
        </w:tc>
      </w:tr>
      <w:tr>
        <w:trPr>
          <w:trHeight w:hRule="exact" w:val="160"/>
        </w:trPr>
        <w:tc>
          <w:tcPr>
            <w:tcW w:type="dxa" w:w="351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772" w:right="0" w:firstLine="0"/>
              <w:jc w:val="left"/>
            </w:pPr>
            <w:r>
              <w:rPr>
                <w:w w:val="101.79999669392903"/>
                <w:rFonts w:ascii="SourceSans3" w:hAnsi="SourceSans3" w:eastAsia="SourceSans3"/>
                <w:b w:val="0"/>
                <w:i w:val="0"/>
                <w:color w:val="FFFFFF"/>
                <w:sz w:val="24"/>
              </w:rPr>
              <w:t>at end-2024</w:t>
            </w:r>
          </w:p>
        </w:tc>
        <w:tc>
          <w:tcPr>
            <w:tcW w:type="dxa" w:w="2256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4512"/>
            <w:gridSpan w:val="2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  <w:tc>
          <w:tcPr>
            <w:tcW w:type="dxa" w:w="461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0" w:right="0" w:firstLine="0"/>
              <w:jc w:val="center"/>
            </w:pPr>
            <w:r>
              <w:rPr>
                <w:w w:val="98.21999867757162"/>
                <w:rFonts w:ascii="SourceSans3" w:hAnsi="SourceSans3" w:eastAsia="SourceSans3"/>
                <w:b w:val="0"/>
                <w:i w:val="0"/>
                <w:color w:val="2E2E2E"/>
                <w:sz w:val="24"/>
              </w:rPr>
              <w:t>end-2023 (in USD)</w:t>
            </w:r>
          </w:p>
        </w:tc>
      </w:tr>
      <w:tr>
        <w:trPr>
          <w:trHeight w:hRule="exact" w:val="294"/>
        </w:trPr>
        <w:tc>
          <w:tcPr>
            <w:tcW w:type="dxa" w:w="351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0" w:after="0"/>
              <w:ind w:left="566" w:right="0" w:firstLine="0"/>
              <w:jc w:val="left"/>
            </w:pPr>
            <w:r>
              <w:rPr>
                <w:w w:val="101.79999669392903"/>
                <w:rFonts w:ascii="TimesNewRomanPSMT" w:hAnsi="TimesNewRomanPSMT" w:eastAsia="TimesNewRomanPSMT"/>
                <w:b w:val="0"/>
                <w:i w:val="0"/>
                <w:color w:val="FFFFFF"/>
                <w:sz w:val="24"/>
              </w:rPr>
              <w:t>•</w:t>
            </w:r>
            <w:r>
              <w:rPr>
                <w:w w:val="101.79999669392903"/>
                <w:rFonts w:ascii="SourceSans3" w:hAnsi="SourceSans3" w:eastAsia="SourceSans3"/>
                <w:b w:val="0"/>
                <w:i w:val="0"/>
                <w:color w:val="FFFFFF"/>
                <w:sz w:val="24"/>
              </w:rPr>
              <w:t xml:space="preserve"> Investment </w:t>
            </w:r>
          </w:p>
        </w:tc>
        <w:tc>
          <w:tcPr>
            <w:tcW w:type="dxa" w:w="30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0" w:right="1312" w:firstLine="0"/>
              <w:jc w:val="right"/>
            </w:pPr>
            <w:r>
              <w:rPr>
                <w:w w:val="101.79999669392903"/>
                <w:rFonts w:ascii="SourceSans3" w:hAnsi="SourceSans3" w:eastAsia="SourceSans3"/>
                <w:b w:val="0"/>
                <w:i w:val="0"/>
                <w:color w:val="FFFFFF"/>
                <w:sz w:val="24"/>
              </w:rPr>
              <w:t>countries</w:t>
            </w:r>
          </w:p>
        </w:tc>
        <w:tc>
          <w:tcPr>
            <w:tcW w:type="dxa" w:w="2256"/>
            <w:vMerge/>
            <w:tcBorders/>
          </w:tcPr>
          <w:p/>
        </w:tc>
      </w:tr>
      <w:tr>
        <w:trPr>
          <w:trHeight w:hRule="exact" w:val="298"/>
        </w:trPr>
        <w:tc>
          <w:tcPr>
            <w:tcW w:type="dxa" w:w="351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772" w:right="0" w:firstLine="0"/>
              <w:jc w:val="left"/>
            </w:pPr>
            <w:r>
              <w:rPr>
                <w:w w:val="101.79999669392903"/>
                <w:rFonts w:ascii="SourceSans3" w:hAnsi="SourceSans3" w:eastAsia="SourceSans3"/>
                <w:b w:val="0"/>
                <w:i w:val="0"/>
                <w:color w:val="FFFFFF"/>
                <w:sz w:val="24"/>
              </w:rPr>
              <w:t xml:space="preserve">performance in </w:t>
            </w:r>
          </w:p>
        </w:tc>
        <w:tc>
          <w:tcPr>
            <w:tcW w:type="dxa" w:w="30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0" w:after="0"/>
              <w:ind w:left="596" w:right="0" w:firstLine="0"/>
              <w:jc w:val="left"/>
            </w:pPr>
            <w:r>
              <w:rPr>
                <w:w w:val="101.79999669392903"/>
                <w:rFonts w:ascii="TimesNewRomanPSMT" w:hAnsi="TimesNewRomanPSMT" w:eastAsia="TimesNewRomanPSMT"/>
                <w:b w:val="0"/>
                <w:i w:val="0"/>
                <w:color w:val="FFFFFF"/>
                <w:sz w:val="24"/>
              </w:rPr>
              <w:t>•</w:t>
            </w:r>
            <w:r>
              <w:rPr>
                <w:w w:val="101.79999669392903"/>
                <w:rFonts w:ascii="SourceSans3" w:hAnsi="SourceSans3" w:eastAsia="SourceSans3"/>
                <w:b w:val="0"/>
                <w:i w:val="0"/>
                <w:color w:val="FFFFFF"/>
                <w:sz w:val="24"/>
              </w:rPr>
              <w:t xml:space="preserve"> 37 other </w:t>
            </w:r>
          </w:p>
        </w:tc>
        <w:tc>
          <w:tcPr>
            <w:tcW w:type="dxa" w:w="2256"/>
            <w:vMerge/>
            <w:tcBorders/>
          </w:tcPr>
          <w:p/>
        </w:tc>
      </w:tr>
      <w:tr>
        <w:trPr>
          <w:trHeight w:hRule="exact" w:val="286"/>
        </w:trPr>
        <w:tc>
          <w:tcPr>
            <w:tcW w:type="dxa" w:w="351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772" w:right="0" w:firstLine="0"/>
              <w:jc w:val="left"/>
            </w:pPr>
            <w:r>
              <w:rPr>
                <w:w w:val="101.79999669392903"/>
                <w:rFonts w:ascii="SourceSans3" w:hAnsi="SourceSans3" w:eastAsia="SourceSans3"/>
                <w:b w:val="0"/>
                <w:i w:val="0"/>
                <w:color w:val="FFFFFF"/>
                <w:sz w:val="24"/>
              </w:rPr>
              <w:t>2024</w:t>
            </w:r>
          </w:p>
        </w:tc>
        <w:tc>
          <w:tcPr>
            <w:tcW w:type="dxa" w:w="30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0" w:right="722" w:firstLine="0"/>
              <w:jc w:val="right"/>
            </w:pPr>
            <w:r>
              <w:rPr>
                <w:w w:val="101.79999669392903"/>
                <w:rFonts w:ascii="SourceSans3" w:hAnsi="SourceSans3" w:eastAsia="SourceSans3"/>
                <w:b w:val="0"/>
                <w:i w:val="0"/>
                <w:color w:val="FFFFFF"/>
                <w:sz w:val="24"/>
              </w:rPr>
              <w:t xml:space="preserve">jurisdictions in </w:t>
            </w:r>
          </w:p>
        </w:tc>
        <w:tc>
          <w:tcPr>
            <w:tcW w:type="dxa" w:w="461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540" w:after="0"/>
              <w:ind w:left="144" w:right="144" w:firstLine="0"/>
              <w:jc w:val="center"/>
            </w:pPr>
            <w:r>
              <w:rPr>
                <w:rFonts w:ascii="SourceSans3" w:hAnsi="SourceSans3" w:eastAsia="SourceSans3"/>
                <w:b/>
                <w:i w:val="0"/>
                <w:color w:val="04629A"/>
                <w:sz w:val="58"/>
              </w:rPr>
              <w:t xml:space="preserve">USD 61.5 trillion </w:t>
            </w:r>
            <w:r>
              <w:rPr>
                <w:w w:val="98.21999867757162"/>
                <w:rFonts w:ascii="SourceSans3" w:hAnsi="SourceSans3" w:eastAsia="SourceSans3"/>
                <w:b w:val="0"/>
                <w:i w:val="0"/>
                <w:color w:val="2E2E2E"/>
                <w:sz w:val="24"/>
              </w:rPr>
              <w:t xml:space="preserve">Amount of pension assets in </w:t>
            </w:r>
          </w:p>
        </w:tc>
      </w:tr>
      <w:tr>
        <w:trPr>
          <w:trHeight w:hRule="exact" w:val="296"/>
        </w:trPr>
        <w:tc>
          <w:tcPr>
            <w:tcW w:type="dxa" w:w="351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0" w:after="0"/>
              <w:ind w:left="566" w:right="0" w:firstLine="0"/>
              <w:jc w:val="left"/>
            </w:pPr>
            <w:r>
              <w:rPr>
                <w:w w:val="101.79999669392903"/>
                <w:rFonts w:ascii="TimesNewRomanPSMT" w:hAnsi="TimesNewRomanPSMT" w:eastAsia="TimesNewRomanPSMT"/>
                <w:b w:val="0"/>
                <w:i w:val="0"/>
                <w:color w:val="FFFFFF"/>
                <w:sz w:val="24"/>
              </w:rPr>
              <w:t>•</w:t>
            </w:r>
            <w:r>
              <w:rPr>
                <w:w w:val="101.79999669392903"/>
                <w:rFonts w:ascii="SourceSans3" w:hAnsi="SourceSans3" w:eastAsia="SourceSans3"/>
                <w:b w:val="0"/>
                <w:i w:val="0"/>
                <w:color w:val="FFFFFF"/>
                <w:sz w:val="24"/>
              </w:rPr>
              <w:t xml:space="preserve"> Asset allocation </w:t>
            </w:r>
          </w:p>
        </w:tc>
        <w:tc>
          <w:tcPr>
            <w:tcW w:type="dxa" w:w="30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1046" w:firstLine="0"/>
              <w:jc w:val="right"/>
            </w:pPr>
            <w:r>
              <w:rPr>
                <w:w w:val="101.79999669392903"/>
                <w:rFonts w:ascii="SourceSans3" w:hAnsi="SourceSans3" w:eastAsia="SourceSans3"/>
                <w:b w:val="0"/>
                <w:i w:val="0"/>
                <w:color w:val="FFFFFF"/>
                <w:sz w:val="24"/>
              </w:rPr>
              <w:t xml:space="preserve">Africa, Asia, </w:t>
            </w:r>
          </w:p>
        </w:tc>
        <w:tc>
          <w:tcPr>
            <w:tcW w:type="dxa" w:w="2256"/>
            <w:vMerge/>
            <w:tcBorders/>
          </w:tcPr>
          <w:p/>
        </w:tc>
      </w:tr>
      <w:tr>
        <w:trPr>
          <w:trHeight w:hRule="exact" w:val="286"/>
        </w:trPr>
        <w:tc>
          <w:tcPr>
            <w:tcW w:type="dxa" w:w="351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6" w:after="0"/>
              <w:ind w:left="772" w:right="0" w:firstLine="0"/>
              <w:jc w:val="left"/>
            </w:pPr>
            <w:r>
              <w:rPr>
                <w:w w:val="101.79999669392903"/>
                <w:rFonts w:ascii="SourceSans3" w:hAnsi="SourceSans3" w:eastAsia="SourceSans3"/>
                <w:b w:val="0"/>
                <w:i w:val="0"/>
                <w:color w:val="FFFFFF"/>
                <w:sz w:val="24"/>
              </w:rPr>
              <w:t>at end-2024</w:t>
            </w:r>
          </w:p>
        </w:tc>
        <w:tc>
          <w:tcPr>
            <w:tcW w:type="dxa" w:w="30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0" w:right="1046" w:firstLine="0"/>
              <w:jc w:val="right"/>
            </w:pPr>
            <w:r>
              <w:rPr>
                <w:w w:val="101.79999669392903"/>
                <w:rFonts w:ascii="SourceSans3" w:hAnsi="SourceSans3" w:eastAsia="SourceSans3"/>
                <w:b w:val="0"/>
                <w:i w:val="0"/>
                <w:color w:val="FFFFFF"/>
                <w:sz w:val="24"/>
              </w:rPr>
              <w:t xml:space="preserve">Europe and </w:t>
            </w:r>
          </w:p>
        </w:tc>
        <w:tc>
          <w:tcPr>
            <w:tcW w:type="dxa" w:w="225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512"/>
            <w:gridSpan w:val="2"/>
            <w:vMerge/>
            <w:tcBorders/>
          </w:tcPr>
          <w:p/>
        </w:tc>
        <w:tc>
          <w:tcPr>
            <w:tcW w:type="dxa" w:w="307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0" w:right="0" w:firstLine="0"/>
              <w:jc w:val="center"/>
            </w:pPr>
            <w:r>
              <w:rPr>
                <w:w w:val="101.79999669392903"/>
                <w:rFonts w:ascii="SourceSans3" w:hAnsi="SourceSans3" w:eastAsia="SourceSans3"/>
                <w:b w:val="0"/>
                <w:i w:val="0"/>
                <w:color w:val="FFFFFF"/>
                <w:sz w:val="24"/>
              </w:rPr>
              <w:t xml:space="preserve">Latin America </w:t>
            </w:r>
          </w:p>
        </w:tc>
        <w:tc>
          <w:tcPr>
            <w:tcW w:type="dxa" w:w="2256"/>
            <w:vMerge/>
            <w:tcBorders/>
          </w:tcPr>
          <w:p/>
        </w:tc>
      </w:tr>
      <w:tr>
        <w:trPr>
          <w:trHeight w:hRule="exact" w:val="590"/>
        </w:trPr>
        <w:tc>
          <w:tcPr>
            <w:tcW w:type="dxa" w:w="4512"/>
            <w:gridSpan w:val="2"/>
            <w:vMerge/>
            <w:tcBorders/>
          </w:tcPr>
          <w:p/>
        </w:tc>
        <w:tc>
          <w:tcPr>
            <w:tcW w:type="dxa" w:w="2256"/>
            <w:vMerge/>
            <w:tcBorders/>
          </w:tcPr>
          <w:p/>
        </w:tc>
        <w:tc>
          <w:tcPr>
            <w:tcW w:type="dxa" w:w="461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4" w:after="0"/>
              <w:ind w:left="0" w:right="0" w:firstLine="0"/>
              <w:jc w:val="center"/>
            </w:pPr>
            <w:r>
              <w:rPr>
                <w:w w:val="98.21999867757162"/>
                <w:rFonts w:ascii="SourceSans3" w:hAnsi="SourceSans3" w:eastAsia="SourceSans3"/>
                <w:b w:val="0"/>
                <w:i w:val="0"/>
                <w:color w:val="2E2E2E"/>
                <w:sz w:val="24"/>
              </w:rPr>
              <w:t>the OECD at end-2024</w:t>
            </w:r>
          </w:p>
        </w:tc>
      </w:tr>
    </w:tbl>
    <w:p>
      <w:pPr>
        <w:autoSpaceDN w:val="0"/>
        <w:autoSpaceDE w:val="0"/>
        <w:widowControl/>
        <w:spacing w:line="71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2.0" w:type="dxa"/>
      </w:tblPr>
      <w:tblGrid>
        <w:gridCol w:w="9026"/>
      </w:tblGrid>
      <w:tr>
        <w:trPr>
          <w:trHeight w:hRule="exact" w:val="2576"/>
        </w:trPr>
        <w:tc>
          <w:tcPr>
            <w:tcW w:type="dxa" w:w="108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270" w:after="0"/>
              <w:ind w:left="638" w:right="576" w:firstLine="0"/>
              <w:jc w:val="left"/>
            </w:pPr>
            <w:r>
              <w:rPr>
                <w:w w:val="102.051303697669"/>
                <w:rFonts w:ascii="SourceSans3" w:hAnsi="SourceSans3" w:eastAsia="SourceSans3"/>
                <w:b/>
                <w:i w:val="0"/>
                <w:color w:val="FFFFFF"/>
                <w:sz w:val="23"/>
              </w:rPr>
              <w:t>Pension Markets in Focus – Preliminary 2024 Data</w:t>
            </w: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t xml:space="preserve"> provides a snapshot of asset-backed pension </w:t>
            </w: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t xml:space="preserve">arrangements in OECD countries and in a selection of non-OECD jurisdictions in 2024. The </w:t>
            </w: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t xml:space="preserve">indicators are based on preliminary data for 2024. An Excel file with the underlying data is </w:t>
            </w: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t xml:space="preserve">available at </w:t>
            </w:r>
            <w:r>
              <w:br/>
            </w: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hyperlink r:id="rId11" w:history="1">
                <w:r>
                  <w:rPr>
                    <w:rStyle w:val="Hyperlink"/>
                  </w:rPr>
                  <w:t xml:space="preserve">https://www.oecd.org/en/publications/pension-markets-in-focus-2024_b11473d3-en/support-ma </w:t>
                </w:r>
              </w:hyperlink>
            </w: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hyperlink r:id="rId11" w:history="1">
                <w:r>
                  <w:rPr>
                    <w:rStyle w:val="Hyperlink"/>
                  </w:rPr>
                  <w:t xml:space="preserve">terials.html. This snapshot was made possible through close co-operation between the OECD, the </w:t>
                </w:r>
              </w:hyperlink>
            </w: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hyperlink r:id="rId11" w:history="1">
                <w:r>
                  <w:rPr>
                    <w:rStyle w:val="Hyperlink"/>
                  </w:rPr>
                  <w:t xml:space="preserve">International Organisation of Pension Supervisors (IOPS), the World Bank and the various </w:t>
                </w:r>
              </w:hyperlink>
            </w: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t>national bodies that provided data and comments.</w:t>
            </w:r>
          </w:p>
        </w:tc>
      </w:tr>
    </w:tbl>
    <w:p>
      <w:pPr>
        <w:autoSpaceDN w:val="0"/>
        <w:autoSpaceDE w:val="0"/>
        <w:widowControl/>
        <w:spacing w:line="15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2.0" w:type="dxa"/>
      </w:tblPr>
      <w:tblGrid>
        <w:gridCol w:w="9026"/>
      </w:tblGrid>
      <w:tr>
        <w:trPr>
          <w:trHeight w:hRule="exact" w:val="696"/>
        </w:trPr>
        <w:tc>
          <w:tcPr>
            <w:tcW w:type="dxa" w:w="10822"/>
            <w:tcBorders/>
            <w:shd w:fill="004a7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638" w:right="576" w:firstLine="0"/>
              <w:jc w:val="left"/>
            </w:pP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t xml:space="preserve">A more developed analysis will be published in the 2025 edition of the full report Pension Markets </w:t>
            </w: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t xml:space="preserve">in Focus, forthcoming in Q4 2025. </w:t>
            </w:r>
          </w:p>
        </w:tc>
      </w:tr>
    </w:tbl>
    <w:p>
      <w:pPr>
        <w:autoSpaceDN w:val="0"/>
        <w:autoSpaceDE w:val="0"/>
        <w:widowControl/>
        <w:spacing w:line="14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9026"/>
      </w:tblGrid>
      <w:tr>
        <w:trPr>
          <w:trHeight w:hRule="exact" w:val="696"/>
        </w:trPr>
        <w:tc>
          <w:tcPr>
            <w:tcW w:type="dxa" w:w="10580"/>
            <w:tcBorders/>
            <w:shd w:fill="004a7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600" w:right="576" w:firstLine="0"/>
              <w:jc w:val="left"/>
            </w:pP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t>For more information, please contact Sally Day-Hanotiaux (</w:t>
            </w: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hyperlink r:id="rId12" w:history="1">
                <w:r>
                  <w:rPr>
                    <w:rStyle w:val="Hyperlink"/>
                  </w:rPr>
                  <w:t>sally.day-hanotiaux@oecd.org</w:t>
                </w:r>
              </w:hyperlink>
            </w: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t xml:space="preserve">) and </w:t>
            </w: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t>Romain Despalins (</w:t>
            </w: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hyperlink r:id="rId13" w:history="1">
                <w:r>
                  <w:rPr>
                    <w:rStyle w:val="Hyperlink"/>
                  </w:rPr>
                  <w:t>romain.despalins@oecd.org</w:t>
                </w:r>
              </w:hyperlink>
            </w:r>
            <w:r>
              <w:rPr>
                <w:w w:val="102.051303697669"/>
                <w:rFonts w:ascii="SourceSans3" w:hAnsi="SourceSans3" w:eastAsia="SourceSans3"/>
                <w:b w:val="0"/>
                <w:i w:val="0"/>
                <w:color w:val="FFFFFF"/>
                <w:sz w:val="23"/>
              </w:rPr>
              <w:t>).</w:t>
            </w:r>
          </w:p>
        </w:tc>
      </w:tr>
    </w:tbl>
    <w:p>
      <w:pPr>
        <w:autoSpaceDN w:val="0"/>
        <w:autoSpaceDE w:val="0"/>
        <w:widowControl/>
        <w:spacing w:line="1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9026"/>
      </w:tblGrid>
      <w:tr>
        <w:trPr>
          <w:trHeight w:hRule="exact" w:val="406"/>
        </w:trPr>
        <w:tc>
          <w:tcPr>
            <w:tcW w:type="dxa" w:w="6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60" w:after="0"/>
              <w:ind w:left="600" w:right="0" w:firstLine="0"/>
              <w:jc w:val="left"/>
            </w:pPr>
            <w:r>
              <w:rPr>
                <w:w w:val="102.051303697669"/>
                <w:rFonts w:ascii="SourceSans3" w:hAnsi="SourceSans3" w:eastAsia="SourceSans3"/>
                <w:b/>
                <w:i w:val="0"/>
                <w:color w:val="FFFFFF"/>
                <w:sz w:val="23"/>
              </w:rPr>
              <w:t>© OECD – 2025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4"/>
        <w:ind w:left="0" w:right="0"/>
      </w:pPr>
    </w:p>
    <w:p>
      <w:pPr>
        <w:autoSpaceDN w:val="0"/>
        <w:tabs>
          <w:tab w:pos="9590" w:val="left"/>
        </w:tabs>
        <w:autoSpaceDE w:val="0"/>
        <w:widowControl/>
        <w:spacing w:line="197" w:lineRule="auto" w:before="0" w:after="0"/>
        <w:ind w:left="14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PENSION MARKETS IN FOCUS – PRELIMINARY 2024 DATA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JUNE 2025 </w:t>
      </w:r>
    </w:p>
    <w:p>
      <w:pPr>
        <w:autoSpaceDN w:val="0"/>
        <w:autoSpaceDE w:val="0"/>
        <w:widowControl/>
        <w:spacing w:line="197" w:lineRule="auto" w:before="568" w:after="0"/>
        <w:ind w:left="1440" w:right="0" w:firstLine="0"/>
        <w:jc w:val="left"/>
      </w:pPr>
      <w:r>
        <w:rPr>
          <w:rFonts w:ascii="Calibri" w:hAnsi="Calibri" w:eastAsia="Calibri"/>
          <w:b/>
          <w:i w:val="0"/>
          <w:color w:val="365F91"/>
          <w:sz w:val="26"/>
        </w:rPr>
        <w:t xml:space="preserve">Pension assets continued to grow in 2024, exceeding the previous record of 2021 </w:t>
      </w:r>
    </w:p>
    <w:p>
      <w:pPr>
        <w:autoSpaceDN w:val="0"/>
        <w:autoSpaceDE w:val="0"/>
        <w:widowControl/>
        <w:spacing w:line="266" w:lineRule="auto" w:before="288" w:after="100"/>
        <w:ind w:left="1440" w:right="1296" w:firstLine="0"/>
        <w:jc w:val="left"/>
      </w:pPr>
      <w:r>
        <w:rPr>
          <w:rFonts w:ascii="Calibri" w:hAnsi="Calibri" w:eastAsia="Calibri"/>
          <w:b/>
          <w:i w:val="0"/>
          <w:color w:val="000000"/>
          <w:sz w:val="20"/>
        </w:rPr>
        <w:t xml:space="preserve">Assets earmarked for retirement continued to grow in 2024, sustaining the momentum established in 2023 </w:t>
      </w:r>
      <w:r>
        <w:rPr>
          <w:rFonts w:ascii="Calibri" w:hAnsi="Calibri" w:eastAsia="Calibri"/>
          <w:b/>
          <w:i w:val="0"/>
          <w:color w:val="000000"/>
          <w:sz w:val="20"/>
        </w:rPr>
        <w:t xml:space="preserve">and fully offsetting the losses experienced in 2022.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Preliminary data show that assets in pension plans grew by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8.5% in the OECD and by 3.1% in a group of non-OECD jurisdictions in 2024 (Table 1). Assets totalled USD 61.5 </w:t>
      </w:r>
      <w:r>
        <w:rPr>
          <w:rFonts w:ascii="Calibri" w:hAnsi="Calibri" w:eastAsia="Calibri"/>
          <w:b w:val="0"/>
          <w:i w:val="0"/>
          <w:color w:val="000000"/>
          <w:sz w:val="20"/>
        </w:rPr>
        <w:t>trillion in the OECD at end-2024, up from USD 59.7 trillion at end-2021.</w:t>
      </w:r>
      <w:r>
        <w:rPr>
          <w:rFonts w:ascii="Calibri" w:hAnsi="Calibri" w:eastAsia="Calibri"/>
          <w:b w:val="0"/>
          <w:i w:val="0"/>
          <w:color w:val="000000"/>
          <w:sz w:val="13"/>
        </w:rPr>
        <w:t>1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However, total asset growth remained </w:t>
      </w:r>
      <w:r>
        <w:rPr>
          <w:rFonts w:ascii="Calibri" w:hAnsi="Calibri" w:eastAsia="Calibri"/>
          <w:b w:val="0"/>
          <w:i w:val="0"/>
          <w:color w:val="000000"/>
          <w:sz w:val="20"/>
        </w:rPr>
        <w:t>lower than GDP growth (in USD) in the OECD area over 2021-24, with assets equivalent to 92% of GDP at end-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2024, down from 105% at end-2021. Taking into account participating non-OECD jurisdictions, assets totalled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USD 63.1 trillion at the end of 2024.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4.0" w:type="dxa"/>
      </w:tblPr>
      <w:tblGrid>
        <w:gridCol w:w="9026"/>
      </w:tblGrid>
      <w:tr>
        <w:trPr>
          <w:trHeight w:hRule="exact" w:val="9254"/>
        </w:trPr>
        <w:tc>
          <w:tcPr>
            <w:tcW w:type="dxa" w:w="11440"/>
            <w:tcBorders>
              <w:start w:sz="12.0" w:val="single" w:color="#CBCCCB"/>
              <w:top w:sz="12.0" w:val="single" w:color="#CBCCCB"/>
              <w:end w:sz="12.0" w:val="single" w:color="#CBCCCB"/>
              <w:bottom w:sz="12.0" w:val="single" w:color="#CBCCCB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4" w:after="56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>Table 1. Assets in asset-backed pension arrangements at end-2024 (preliminary)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6.0" w:type="dxa"/>
            </w:tblPr>
            <w:tblGrid>
              <w:gridCol w:w="1430"/>
              <w:gridCol w:w="1430"/>
              <w:gridCol w:w="1430"/>
              <w:gridCol w:w="1430"/>
              <w:gridCol w:w="1430"/>
              <w:gridCol w:w="1430"/>
              <w:gridCol w:w="1430"/>
              <w:gridCol w:w="1430"/>
            </w:tblGrid>
            <w:tr>
              <w:trPr>
                <w:trHeight w:hRule="exact" w:val="646"/>
              </w:trPr>
              <w:tc>
                <w:tcPr>
                  <w:tcW w:type="dxa" w:w="5026"/>
                  <w:gridSpan w:val="4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6.000000000000014" w:type="dxa"/>
                  </w:tblPr>
                  <w:tblGrid>
                    <w:gridCol w:w="1256"/>
                    <w:gridCol w:w="1256"/>
                    <w:gridCol w:w="1256"/>
                    <w:gridCol w:w="1256"/>
                  </w:tblGrid>
                  <w:tr>
                    <w:trPr>
                      <w:trHeight w:hRule="exact" w:val="564"/>
                    </w:trPr>
                    <w:tc>
                      <w:tcPr>
                        <w:tcW w:type="dxa" w:w="1644"/>
                        <w:tcBorders>
                          <w:start w:sz="4.037439823150635" w:val="single" w:color="#DFDFDF"/>
                          <w:top w:sz="5.599999999999909" w:val="single" w:color="#4F81BC"/>
                          <w:end w:sz="4.037439823150635" w:val="single" w:color="#DFDFDF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2" w:lineRule="exact" w:before="16" w:after="0"/>
                          <w:ind w:left="20" w:right="0" w:firstLine="0"/>
                          <w:jc w:val="left"/>
                        </w:pP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>OECD countries</w:t>
                        </w:r>
                      </w:p>
                    </w:tc>
                    <w:tc>
                      <w:tcPr>
                        <w:tcW w:type="dxa" w:w="1180"/>
                        <w:tcBorders>
                          <w:start w:sz="4.037439823150635" w:val="single" w:color="#DFDFDF"/>
                          <w:top w:sz="5.599999999999909" w:val="single" w:color="#4F81BC"/>
                          <w:end w:sz="4.0" w:val="single" w:color="#DFDFDF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0" w:lineRule="exact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 xml:space="preserve">% change since </w:t>
                        </w: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>end-2023</w:t>
                        </w:r>
                      </w:p>
                    </w:tc>
                    <w:tc>
                      <w:tcPr>
                        <w:tcW w:type="dxa" w:w="1300"/>
                        <w:tcBorders>
                          <w:start w:sz="4.0" w:val="single" w:color="#DFDFDF"/>
                          <w:top w:sz="5.599999999999909" w:val="single" w:color="#4F81BC"/>
                          <w:end w:sz="4.037439823150635" w:val="single" w:color="#DFDFDF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2" w:lineRule="exact" w:before="16" w:after="0"/>
                          <w:ind w:left="0" w:right="0" w:firstLine="0"/>
                          <w:jc w:val="center"/>
                        </w:pP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>in USD million</w:t>
                        </w:r>
                      </w:p>
                    </w:tc>
                    <w:tc>
                      <w:tcPr>
                        <w:tcW w:type="dxa" w:w="896"/>
                        <w:tcBorders>
                          <w:start w:sz="4.037439823150635" w:val="single" w:color="#DFDFDF"/>
                          <w:top w:sz="5.599999999999909" w:val="single" w:color="#4F81BC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2" w:lineRule="exact" w:before="16" w:after="0"/>
                          <w:ind w:left="0" w:right="0" w:firstLine="0"/>
                          <w:jc w:val="center"/>
                        </w:pP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>% GDP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5960"/>
                  <w:gridSpan w:val="4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30.0" w:type="dxa"/>
                  </w:tblPr>
                  <w:tblGrid>
                    <w:gridCol w:w="1490"/>
                    <w:gridCol w:w="1490"/>
                    <w:gridCol w:w="1490"/>
                    <w:gridCol w:w="1490"/>
                  </w:tblGrid>
                  <w:tr>
                    <w:trPr>
                      <w:trHeight w:hRule="exact" w:val="564"/>
                    </w:trPr>
                    <w:tc>
                      <w:tcPr>
                        <w:tcW w:type="dxa" w:w="1924"/>
                        <w:tcBorders>
                          <w:top w:sz="5.599999999999909" w:val="single" w:color="#4F81BC"/>
                          <w:end w:sz="4.037439823150635" w:val="single" w:color="#DFDFDF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0" w:lineRule="exact" w:before="0" w:after="0"/>
                          <w:ind w:left="34" w:right="432" w:firstLine="0"/>
                          <w:jc w:val="left"/>
                        </w:pP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 xml:space="preserve">Selected non-OECD </w:t>
                        </w: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>jurisdictions</w:t>
                        </w:r>
                      </w:p>
                    </w:tc>
                    <w:tc>
                      <w:tcPr>
                        <w:tcW w:type="dxa" w:w="1258"/>
                        <w:tcBorders>
                          <w:start w:sz="4.037439823150635" w:val="single" w:color="#DFDFDF"/>
                          <w:top w:sz="5.599999999999909" w:val="single" w:color="#4F81BC"/>
                          <w:end w:sz="4.799999999999727" w:val="single" w:color="#DFDFDF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0" w:lineRule="exact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 xml:space="preserve">% change since </w:t>
                        </w: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>end-2023</w:t>
                        </w:r>
                      </w:p>
                    </w:tc>
                    <w:tc>
                      <w:tcPr>
                        <w:tcW w:type="dxa" w:w="1298"/>
                        <w:tcBorders>
                          <w:start w:sz="4.799999999999727" w:val="single" w:color="#DFDFDF"/>
                          <w:top w:sz="5.599999999999909" w:val="single" w:color="#4F81BC"/>
                          <w:end w:sz="4.037439823150635" w:val="single" w:color="#DFDFDF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2" w:lineRule="exact" w:before="16" w:after="0"/>
                          <w:ind w:left="0" w:right="0" w:firstLine="0"/>
                          <w:jc w:val="center"/>
                        </w:pP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>in USD million</w:t>
                        </w:r>
                      </w:p>
                    </w:tc>
                    <w:tc>
                      <w:tcPr>
                        <w:tcW w:type="dxa" w:w="1110"/>
                        <w:tcBorders>
                          <w:start w:sz="4.037439823150635" w:val="single" w:color="#DFDFDF"/>
                          <w:top w:sz="5.599999999999909" w:val="single" w:color="#4F81BC"/>
                          <w:end w:sz="4.037439823150635" w:val="single" w:color="#DFDFDF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2" w:lineRule="exact" w:before="16" w:after="0"/>
                          <w:ind w:left="0" w:right="0" w:firstLine="0"/>
                          <w:jc w:val="center"/>
                        </w:pP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>% GDP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198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Australia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10.3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2,392,128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135.1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Albania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20.3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87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166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0.3</w:t>
                  </w:r>
                </w:p>
              </w:tc>
            </w:tr>
            <w:tr>
              <w:trPr>
                <w:trHeight w:hRule="exact" w:val="19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8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Austria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8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6.8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8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36,693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8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7.3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8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Angola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8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17.9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8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1,240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8" w:after="0"/>
                    <w:ind w:left="0" w:right="166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1.1</w:t>
                  </w:r>
                </w:p>
              </w:tc>
            </w:tr>
            <w:tr>
              <w:trPr>
                <w:trHeight w:hRule="exact" w:val="198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Belgium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2.3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192,630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30.2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Armenia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34.9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2,719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10.7</w:t>
                  </w:r>
                </w:p>
              </w:tc>
            </w:tr>
            <w:tr>
              <w:trPr>
                <w:trHeight w:hRule="exact" w:val="22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2" w:lineRule="exact" w:before="18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Canada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e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46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10.6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46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3,543,447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46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157.6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46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Botswana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46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9.6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46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10,919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46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58.0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Chile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10.9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186,582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59.3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Brazil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7.2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461,119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24.3</w:t>
                  </w:r>
                </w:p>
              </w:tc>
            </w:tr>
            <w:tr>
              <w:trPr>
                <w:trHeight w:hRule="exact" w:val="188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Colombia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15.5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104,761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27.1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Bulgaria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15.8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14,159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13.1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Costa Rica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13.1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40,637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42.2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Croatia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15.1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26,260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29.6</w:t>
                  </w:r>
                </w:p>
              </w:tc>
            </w:tr>
            <w:tr>
              <w:trPr>
                <w:trHeight w:hRule="exact" w:val="188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Czechia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1.2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25,800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7.8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Dominican Republic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14.8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18,925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15.7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Denmark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8.5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845,548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204.0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Egypt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10.0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3,067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66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1.1</w:t>
                  </w:r>
                </w:p>
              </w:tc>
            </w:tr>
            <w:tr>
              <w:trPr>
                <w:trHeight w:hRule="exact" w:val="188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Estonia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22.1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7,389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18.0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Georgia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39.0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2,179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66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6.7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Finland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10.1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190,865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66.3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Guyana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-4.1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498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66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2.0</w:t>
                  </w:r>
                </w:p>
              </w:tc>
            </w:tr>
            <w:tr>
              <w:trPr>
                <w:trHeight w:hRule="exact" w:val="22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2" w:lineRule="exact" w:before="18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France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e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48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5.9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48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390,092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48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12.9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48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Hong Kong (China)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48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10.7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48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204,078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48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49.9</w:t>
                  </w:r>
                </w:p>
              </w:tc>
            </w:tr>
            <w:tr>
              <w:trPr>
                <w:trHeight w:hRule="exact" w:val="23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5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Germany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5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2.6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5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284,256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5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6.4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2" w:lineRule="exact" w:before="24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India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e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5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25.7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5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557,726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52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14.4</w:t>
                  </w:r>
                </w:p>
              </w:tc>
            </w:tr>
            <w:tr>
              <w:trPr>
                <w:trHeight w:hRule="exact" w:val="188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Greece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20.4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2,790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1.1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Indonesia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7.7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88,860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66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6.5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Hungary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15.8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9,874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4.8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Jamaica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8.9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5,212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25.7</w:t>
                  </w:r>
                </w:p>
              </w:tc>
            </w:tr>
            <w:tr>
              <w:trPr>
                <w:trHeight w:hRule="exact" w:val="188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Iceland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11.8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62,940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188.4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Kazakhstan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27.7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43,446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17.0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Ireland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10.6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153,163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27.6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Kenya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30.7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17,444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13.7</w:t>
                  </w:r>
                </w:p>
              </w:tc>
            </w:tr>
            <w:tr>
              <w:trPr>
                <w:trHeight w:hRule="exact" w:val="188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Israel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15.7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380,141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69.3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Kosovo*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17.7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3,318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31.0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Italy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9.9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267,146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11.7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Lesotho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14.9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986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41.6</w:t>
                  </w:r>
                </w:p>
              </w:tc>
            </w:tr>
            <w:tr>
              <w:trPr>
                <w:trHeight w:hRule="exact" w:val="188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Japan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4.1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1,140,816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29.3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Macau (China)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10.1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5,846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11.6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Korea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9.2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552,662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31.9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Malawi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41.0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1,980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2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17.1</w:t>
                  </w:r>
                </w:p>
              </w:tc>
            </w:tr>
            <w:tr>
              <w:trPr>
                <w:trHeight w:hRule="exact" w:val="188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Latvia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24.1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10,160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24.3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Maldives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13.5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1,667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23.8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Lithuania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28.5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9,903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12.2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Morocco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12.3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9,003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166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5.9</w:t>
                  </w:r>
                </w:p>
              </w:tc>
            </w:tr>
            <w:tr>
              <w:trPr>
                <w:trHeight w:hRule="exact" w:val="188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Luxembourg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1.4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1,421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1.6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Nigeria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22.6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14,658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4" w:after="0"/>
                    <w:ind w:left="0" w:right="166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8.1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Mexico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13.2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370,166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22.1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North Macedonia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20.5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2,842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17.6</w:t>
                  </w:r>
                </w:p>
              </w:tc>
            </w:tr>
            <w:tr>
              <w:trPr>
                <w:trHeight w:hRule="exact" w:val="188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Netherlands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8.2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1,770,868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150.3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Pakistan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61.2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368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166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0.1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New Zealand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17.1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90,235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37.2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Papua New Guinea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12.8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5,183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16.9</w:t>
                  </w:r>
                </w:p>
              </w:tc>
            </w:tr>
            <w:tr>
              <w:trPr>
                <w:trHeight w:hRule="exact" w:val="188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Norway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10.7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46,326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10.1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Peru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-12.9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28,474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166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9.9</w:t>
                  </w:r>
                </w:p>
              </w:tc>
            </w:tr>
            <w:tr>
              <w:trPr>
                <w:trHeight w:hRule="exact" w:val="215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Poland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8.7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74,993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8.5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4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 xml:space="preserve">Republika Srpska (Bosnia 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29.4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23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17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..</w:t>
                  </w:r>
                </w:p>
              </w:tc>
            </w:tr>
            <w:tr>
              <w:trPr>
                <w:trHeight w:hRule="exact" w:val="207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2" w:lineRule="exact" w:before="4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Portugal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e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3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-0.9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3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37,620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3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12.7</w:t>
                  </w:r>
                </w:p>
              </w:tc>
              <w:tc>
                <w:tcPr>
                  <w:tcW w:type="dxa" w:w="5960"/>
                  <w:gridSpan w:val="4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32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and Herzegovina)</w:t>
                  </w:r>
                </w:p>
              </w:tc>
            </w:tr>
            <w:tr>
              <w:trPr>
                <w:trHeight w:hRule="exact" w:val="193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Slovak Republic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19.8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22,009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16.2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Romania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19.0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32,749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0" w:right="166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8.9</w:t>
                  </w:r>
                </w:p>
              </w:tc>
            </w:tr>
            <w:tr>
              <w:trPr>
                <w:trHeight w:hRule="exact" w:val="195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Slovenia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11.5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5,148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7.4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Serbia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15.4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552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0" w:right="166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0.6</w:t>
                  </w:r>
                </w:p>
              </w:tc>
            </w:tr>
            <w:tr>
              <w:trPr>
                <w:trHeight w:hRule="exact" w:val="193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Spain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5.2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177,476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10.7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Seychelles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3.7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296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18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13.9</w:t>
                  </w:r>
                </w:p>
              </w:tc>
            </w:tr>
            <w:tr>
              <w:trPr>
                <w:trHeight w:hRule="exact" w:val="194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Sweden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17.1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670,994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114.8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Suriname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3.7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413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4" w:lineRule="exact" w:before="20" w:after="0"/>
                    <w:ind w:left="0" w:right="166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9.9</w:t>
                  </w:r>
                </w:p>
              </w:tc>
            </w:tr>
            <w:tr>
              <w:trPr>
                <w:trHeight w:hRule="exact" w:val="226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Switzerland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>e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50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7.9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50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1,503,673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50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164.8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50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Uruguay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50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10.5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50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22,176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50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30.0</w:t>
                  </w:r>
                </w:p>
              </w:tc>
            </w:tr>
            <w:tr>
              <w:trPr>
                <w:trHeight w:hRule="exact" w:val="191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0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Türkiye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0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64.4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0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34,667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0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2.8</w:t>
                  </w:r>
                </w:p>
              </w:tc>
              <w:tc>
                <w:tcPr>
                  <w:tcW w:type="dxa" w:w="2154"/>
                  <w:tcBorders>
                    <w:end w:sz="4.800000000000182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0" w:after="0"/>
                    <w:ind w:left="264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Zambia</w:t>
                  </w:r>
                </w:p>
              </w:tc>
              <w:tc>
                <w:tcPr>
                  <w:tcW w:type="dxa" w:w="1258"/>
                  <w:tcBorders>
                    <w:start w:sz="4.800000000000182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0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25.9</w:t>
                  </w:r>
                </w:p>
              </w:tc>
              <w:tc>
                <w:tcPr>
                  <w:tcW w:type="dxa" w:w="1298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0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748</w:t>
                  </w:r>
                </w:p>
              </w:tc>
              <w:tc>
                <w:tcPr>
                  <w:tcW w:type="dxa" w:w="1250"/>
                  <w:tcBorders>
                    <w:start w:sz="4.03743982315063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0" w:after="0"/>
                    <w:ind w:left="0" w:right="166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3.0</w:t>
                  </w:r>
                </w:p>
              </w:tc>
            </w:tr>
            <w:tr>
              <w:trPr>
                <w:trHeight w:hRule="exact" w:val="200"/>
              </w:trPr>
              <w:tc>
                <w:tcPr>
                  <w:tcW w:type="dxa" w:w="1650"/>
                  <w:tcBorders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United Kingdom (1)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5.3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end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2,935,698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</w:tcBorders>
                  <w:shd w:fill="dce6f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2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MT" w:hAnsi="ArialMT" w:eastAsia="ArialMT"/>
                      <w:b w:val="0"/>
                      <w:i w:val="0"/>
                      <w:color w:val="000000"/>
                      <w:sz w:val="16"/>
                    </w:rPr>
                    <w:t>78.0</w:t>
                  </w:r>
                </w:p>
              </w:tc>
              <w:tc>
                <w:tcPr>
                  <w:tcW w:type="dxa" w:w="5960"/>
                  <w:gridSpan w:val="4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30.0" w:type="dxa"/>
                  </w:tblPr>
                  <w:tblGrid>
                    <w:gridCol w:w="1987"/>
                    <w:gridCol w:w="1987"/>
                    <w:gridCol w:w="1987"/>
                  </w:tblGrid>
                  <w:tr>
                    <w:trPr>
                      <w:trHeight w:hRule="exact" w:val="170"/>
                    </w:trPr>
                    <w:tc>
                      <w:tcPr>
                        <w:tcW w:type="dxa" w:w="3182"/>
                        <w:tcBorders>
                          <w:end w:sz="4.037439823150635" w:val="single" w:color="#DFDFDF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10.0" w:type="dxa"/>
                        </w:tblPr>
                        <w:tblGrid>
                          <w:gridCol w:w="1591"/>
                          <w:gridCol w:w="1591"/>
                        </w:tblGrid>
                        <w:tr>
                          <w:trPr>
                            <w:trHeight w:hRule="exact" w:val="168"/>
                          </w:trPr>
                          <w:tc>
                            <w:tcPr>
                              <w:tcW w:type="dxa" w:w="1914"/>
                              <w:tcBorders>
                                <w:end w:sz="4.800000000000182" w:val="single" w:color="#DFDFDF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>
                              <w:pPr>
                                <w:autoSpaceDN w:val="0"/>
                                <w:autoSpaceDE w:val="0"/>
                                <w:widowControl/>
                                <w:spacing w:line="172" w:lineRule="exact" w:before="16" w:after="0"/>
                                <w:ind w:left="24" w:right="0" w:firstLine="0"/>
                                <w:jc w:val="left"/>
                              </w:pPr>
                              <w:r>
                                <w:rPr>
                                  <w:w w:val="96.96497321128845"/>
                                  <w:rFonts w:ascii="ArialMT" w:hAnsi="ArialMT" w:eastAsia="ArialMT"/>
                                  <w:b w:val="0"/>
                                  <w:i w:val="0"/>
                                  <w:color w:val="000000"/>
                                  <w:sz w:val="16"/>
                                </w:rPr>
                                <w:t>Zimbabwe (3)</w:t>
                              </w:r>
                            </w:p>
                          </w:tc>
                          <w:tc>
                            <w:tcPr>
                              <w:tcW w:type="dxa" w:w="1226"/>
                              <w:tcBorders>
                                <w:start w:sz="4.800000000000182" w:val="single" w:color="#DFDFDF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>
                              <w:pPr>
                                <w:autoSpaceDN w:val="0"/>
                                <w:autoSpaceDE w:val="0"/>
                                <w:widowControl/>
                                <w:spacing w:line="172" w:lineRule="exact" w:before="16" w:after="0"/>
                                <w:ind w:left="0" w:right="0" w:firstLine="0"/>
                                <w:jc w:val="right"/>
                              </w:pPr>
                              <w:r>
                                <w:rPr>
                                  <w:w w:val="96.96497321128845"/>
                                  <w:rFonts w:ascii="ArialMT" w:hAnsi="ArialMT" w:eastAsia="ArialMT"/>
                                  <w:b w:val="0"/>
                                  <w:i w:val="0"/>
                                  <w:color w:val="000000"/>
                                  <w:sz w:val="16"/>
                                </w:rPr>
                                <w:t>..</w:t>
                              </w:r>
                            </w:p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1298"/>
                        <w:tcBorders>
                          <w:start w:sz="4.037439823150635" w:val="single" w:color="#DFDFDF"/>
                          <w:end w:sz="4.037439823150635" w:val="single" w:color="#DFDFDF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2" w:lineRule="exact" w:before="12" w:after="0"/>
                          <w:ind w:left="0" w:right="22" w:firstLine="0"/>
                          <w:jc w:val="right"/>
                        </w:pP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>2,260</w:t>
                        </w:r>
                      </w:p>
                    </w:tc>
                    <w:tc>
                      <w:tcPr>
                        <w:tcW w:type="dxa" w:w="1110"/>
                        <w:tcBorders>
                          <w:start w:sz="4.037439823150635" w:val="single" w:color="#DFDFDF"/>
                          <w:end w:sz="4.0" w:val="single" w:color="#DFDFDF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2" w:lineRule="exact" w:before="12" w:after="0"/>
                          <w:ind w:left="0" w:right="22" w:firstLine="0"/>
                          <w:jc w:val="right"/>
                        </w:pP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>9.9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198"/>
              </w:trPr>
              <w:tc>
                <w:tcPr>
                  <w:tcW w:type="dxa" w:w="5026"/>
                  <w:gridSpan w:val="4"/>
                  <w:tcBorders>
                    <w:bottom w:sz="4.03743982315063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6.000000000000014" w:type="dxa"/>
                  </w:tblPr>
                  <w:tblGrid>
                    <w:gridCol w:w="1256"/>
                    <w:gridCol w:w="1256"/>
                    <w:gridCol w:w="1256"/>
                    <w:gridCol w:w="1256"/>
                  </w:tblGrid>
                  <w:tr>
                    <w:trPr>
                      <w:trHeight w:hRule="exact" w:val="178"/>
                    </w:trPr>
                    <w:tc>
                      <w:tcPr>
                        <w:tcW w:type="dxa" w:w="1644"/>
                        <w:tcBorders>
                          <w:start w:sz="4.037439823150635" w:val="single" w:color="#DFDFDF"/>
                          <w:end w:sz="4.037439823150635" w:val="single" w:color="#DFDFDF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2" w:lineRule="exact" w:before="16" w:after="0"/>
                          <w:ind w:left="20" w:right="0" w:firstLine="0"/>
                          <w:jc w:val="left"/>
                        </w:pP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>United States</w:t>
                        </w:r>
                      </w:p>
                    </w:tc>
                    <w:tc>
                      <w:tcPr>
                        <w:tcW w:type="dxa" w:w="1180"/>
                        <w:tcBorders>
                          <w:start w:sz="4.037439823150635" w:val="single" w:color="#DFDFDF"/>
                          <w:end w:sz="4.037439823150635" w:val="single" w:color="#DFDFDF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2" w:lineRule="exact" w:before="16" w:after="0"/>
                          <w:ind w:left="0" w:right="18" w:firstLine="0"/>
                          <w:jc w:val="right"/>
                        </w:pP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>10.3</w:t>
                        </w:r>
                      </w:p>
                    </w:tc>
                    <w:tc>
                      <w:tcPr>
                        <w:tcW w:type="dxa" w:w="1300"/>
                        <w:tcBorders>
                          <w:start w:sz="4.037439823150635" w:val="single" w:color="#DFDFDF"/>
                          <w:end w:sz="4.0" w:val="single" w:color="#DFDFDF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2" w:lineRule="exact" w:before="16" w:after="0"/>
                          <w:ind w:left="0" w:right="22" w:firstLine="0"/>
                          <w:jc w:val="right"/>
                        </w:pP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>42,902,353</w:t>
                        </w:r>
                      </w:p>
                    </w:tc>
                    <w:tc>
                      <w:tcPr>
                        <w:tcW w:type="dxa" w:w="896"/>
                        <w:tcBorders>
                          <w:start w:sz="4.0" w:val="single" w:color="#DFDFDF"/>
                          <w:bottom w:sz="4.03743982315063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2" w:lineRule="exact" w:before="16" w:after="0"/>
                          <w:ind w:left="0" w:right="30" w:firstLine="0"/>
                          <w:jc w:val="right"/>
                        </w:pPr>
                        <w:r>
                          <w:rPr>
                            <w:w w:val="96.96497321128845"/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6"/>
                          </w:rPr>
                          <w:t>146.9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2154"/>
                  <w:vMerge w:val="restart"/>
                  <w:tcBorders>
                    <w:end w:sz="4.800000000000182" w:val="single" w:color="#DFDFDF"/>
                    <w:bottom w:sz="4.03743982315063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32.00000000000045" w:type="dxa"/>
                  </w:tblPr>
                  <w:tblGrid>
                    <w:gridCol w:w="2154"/>
                  </w:tblGrid>
                  <w:tr>
                    <w:trPr>
                      <w:trHeight w:hRule="exact" w:val="188"/>
                    </w:trPr>
                    <w:tc>
                      <w:tcPr>
                        <w:tcW w:type="dxa" w:w="1268"/>
                        <w:tcBorders/>
                        <w:shd w:fill="f1f2f1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2" w:lineRule="exact" w:before="22" w:after="0"/>
                          <w:ind w:left="32" w:right="0" w:firstLine="0"/>
                          <w:jc w:val="left"/>
                        </w:pPr>
                        <w:r>
                          <w:rPr>
                            <w:w w:val="96.96497321128845"/>
                            <w:rFonts w:ascii="Arial" w:hAnsi="Arial" w:eastAsia="Arial"/>
                            <w:b/>
                            <w:i w:val="0"/>
                            <w:color w:val="000000"/>
                            <w:sz w:val="16"/>
                          </w:rPr>
                          <w:t>Total (2)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1258"/>
                  <w:vMerge w:val="restart"/>
                  <w:tcBorders>
                    <w:start w:sz="4.800000000000182" w:val="single" w:color="#DFDFDF"/>
                    <w:end w:sz="4.037439823150635" w:val="single" w:color="#DFDFDF"/>
                    <w:bottom w:sz="4.03743982315063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20" w:firstLine="0"/>
                    <w:jc w:val="right"/>
                  </w:pPr>
                  <w:r>
                    <w:rPr>
                      <w:w w:val="96.96497321128845"/>
                      <w:rFonts w:ascii="Arial" w:hAnsi="Arial" w:eastAsia="Arial"/>
                      <w:b/>
                      <w:i w:val="0"/>
                      <w:color w:val="000000"/>
                      <w:sz w:val="16"/>
                    </w:rPr>
                    <w:t>3.1</w:t>
                  </w:r>
                </w:p>
              </w:tc>
              <w:tc>
                <w:tcPr>
                  <w:tcW w:type="dxa" w:w="1298"/>
                  <w:vMerge w:val="restart"/>
                  <w:tcBorders>
                    <w:start w:sz="4.037439823150635" w:val="single" w:color="#DFDFDF"/>
                    <w:end w:sz="4.037439823150635" w:val="single" w:color="#DFDFDF"/>
                    <w:bottom w:sz="4.03743982315063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" w:hAnsi="Arial" w:eastAsia="Arial"/>
                      <w:b/>
                      <w:i w:val="0"/>
                      <w:color w:val="000000"/>
                      <w:sz w:val="16"/>
                    </w:rPr>
                    <w:t>1,591,476</w:t>
                  </w:r>
                </w:p>
              </w:tc>
              <w:tc>
                <w:tcPr>
                  <w:tcW w:type="dxa" w:w="1250"/>
                  <w:vMerge w:val="restart"/>
                  <w:tcBorders>
                    <w:start w:sz="4.037439823150635" w:val="single" w:color="#DFDFDF"/>
                    <w:bottom w:sz="4.03743982315063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6" w:after="0"/>
                    <w:ind w:left="0" w:right="168" w:firstLine="0"/>
                    <w:jc w:val="right"/>
                  </w:pPr>
                  <w:r>
                    <w:rPr>
                      <w:w w:val="96.96497321128845"/>
                      <w:rFonts w:ascii="Arial" w:hAnsi="Arial" w:eastAsia="Arial"/>
                      <w:b/>
                      <w:i w:val="0"/>
                      <w:color w:val="000000"/>
                      <w:sz w:val="16"/>
                    </w:rPr>
                    <w:t>15.2</w:t>
                  </w:r>
                </w:p>
              </w:tc>
            </w:tr>
            <w:tr>
              <w:trPr>
                <w:trHeight w:hRule="exact" w:val="202"/>
              </w:trPr>
              <w:tc>
                <w:tcPr>
                  <w:tcW w:type="dxa" w:w="1650"/>
                  <w:tcBorders>
                    <w:top w:sz="4.037439823150635" w:val="single" w:color="#000000"/>
                    <w:end w:sz="4.037439823150635" w:val="single" w:color="#DFDFDF"/>
                    <w:bottom w:sz="4.037439823150635" w:val="single" w:color="#000000"/>
                  </w:tcBorders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4" w:after="0"/>
                    <w:ind w:left="32" w:right="0" w:firstLine="0"/>
                    <w:jc w:val="left"/>
                  </w:pPr>
                  <w:r>
                    <w:rPr>
                      <w:w w:val="96.96497321128845"/>
                      <w:rFonts w:ascii="Arial" w:hAnsi="Arial" w:eastAsia="Arial"/>
                      <w:b/>
                      <w:i w:val="0"/>
                      <w:color w:val="000000"/>
                      <w:sz w:val="16"/>
                    </w:rPr>
                    <w:t>Total (2)</w:t>
                  </w:r>
                </w:p>
              </w:tc>
              <w:tc>
                <w:tcPr>
                  <w:tcW w:type="dxa" w:w="1180"/>
                  <w:tcBorders>
                    <w:start w:sz="4.037439823150635" w:val="single" w:color="#DFDFDF"/>
                    <w:top w:sz="4.037439823150635" w:val="single" w:color="#000000"/>
                    <w:end w:sz="4.037439823150635" w:val="single" w:color="#DFDFDF"/>
                    <w:bottom w:sz="4.037439823150635" w:val="single" w:color="#000000"/>
                  </w:tcBorders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4" w:after="0"/>
                    <w:ind w:left="0" w:right="18" w:firstLine="0"/>
                    <w:jc w:val="right"/>
                  </w:pPr>
                  <w:r>
                    <w:rPr>
                      <w:w w:val="96.96497321128845"/>
                      <w:rFonts w:ascii="Arial" w:hAnsi="Arial" w:eastAsia="Arial"/>
                      <w:b/>
                      <w:i w:val="0"/>
                      <w:color w:val="000000"/>
                      <w:sz w:val="16"/>
                    </w:rPr>
                    <w:t>8.5</w:t>
                  </w:r>
                </w:p>
              </w:tc>
              <w:tc>
                <w:tcPr>
                  <w:tcW w:type="dxa" w:w="1300"/>
                  <w:tcBorders>
                    <w:start w:sz="4.037439823150635" w:val="single" w:color="#DFDFDF"/>
                    <w:top w:sz="4.037439823150635" w:val="single" w:color="#000000"/>
                    <w:end w:sz="4.037439823150635" w:val="single" w:color="#DFDFDF"/>
                    <w:bottom w:sz="4.037439823150635" w:val="single" w:color="#000000"/>
                  </w:tcBorders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4" w:after="0"/>
                    <w:ind w:left="0" w:right="22" w:firstLine="0"/>
                    <w:jc w:val="right"/>
                  </w:pPr>
                  <w:r>
                    <w:rPr>
                      <w:w w:val="96.96497321128845"/>
                      <w:rFonts w:ascii="Arial" w:hAnsi="Arial" w:eastAsia="Arial"/>
                      <w:b/>
                      <w:i w:val="0"/>
                      <w:color w:val="000000"/>
                      <w:sz w:val="16"/>
                    </w:rPr>
                    <w:t>61,474,065</w:t>
                  </w:r>
                </w:p>
              </w:tc>
              <w:tc>
                <w:tcPr>
                  <w:tcW w:type="dxa" w:w="896"/>
                  <w:tcBorders>
                    <w:start w:sz="4.037439823150635" w:val="single" w:color="#DFDFDF"/>
                    <w:top w:sz="4.037439823150635" w:val="single" w:color="#000000"/>
                    <w:bottom w:sz="4.037439823150635" w:val="single" w:color="#000000"/>
                  </w:tcBorders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14" w:after="0"/>
                    <w:ind w:left="0" w:right="30" w:firstLine="0"/>
                    <w:jc w:val="right"/>
                  </w:pPr>
                  <w:r>
                    <w:rPr>
                      <w:w w:val="96.96497321128845"/>
                      <w:rFonts w:ascii="Arial" w:hAnsi="Arial" w:eastAsia="Arial"/>
                      <w:b/>
                      <w:i w:val="0"/>
                      <w:color w:val="000000"/>
                      <w:sz w:val="16"/>
                    </w:rPr>
                    <w:t>92.4</w:t>
                  </w:r>
                </w:p>
              </w:tc>
              <w:tc>
                <w:tcPr>
                  <w:tcW w:type="dxa" w:w="1430"/>
                  <w:vMerge/>
                  <w:tcBorders>
                    <w:end w:sz="4.800000000000182" w:val="single" w:color="#DFDFDF"/>
                    <w:bottom w:sz="4.037439823150635" w:val="single" w:color="#000000"/>
                  </w:tcBorders>
                </w:tcPr>
                <w:p/>
              </w:tc>
              <w:tc>
                <w:tcPr>
                  <w:tcW w:type="dxa" w:w="1430"/>
                  <w:vMerge/>
                  <w:tcBorders>
                    <w:start w:sz="4.800000000000182" w:val="single" w:color="#DFDFDF"/>
                    <w:end w:sz="4.037439823150635" w:val="single" w:color="#DFDFDF"/>
                    <w:bottom w:sz="4.037439823150635" w:val="single" w:color="#000000"/>
                  </w:tcBorders>
                </w:tcPr>
                <w:p/>
              </w:tc>
              <w:tc>
                <w:tcPr>
                  <w:tcW w:type="dxa" w:w="1430"/>
                  <w:vMerge/>
                  <w:tcBorders>
                    <w:start w:sz="4.037439823150635" w:val="single" w:color="#DFDFDF"/>
                    <w:end w:sz="4.037439823150635" w:val="single" w:color="#DFDFDF"/>
                    <w:bottom w:sz="4.037439823150635" w:val="single" w:color="#000000"/>
                  </w:tcBorders>
                </w:tcPr>
                <w:p/>
              </w:tc>
              <w:tc>
                <w:tcPr>
                  <w:tcW w:type="dxa" w:w="1430"/>
                  <w:vMerge/>
                  <w:tcBorders>
                    <w:start w:sz="4.037439823150635" w:val="single" w:color="#DFDFDF"/>
                    <w:bottom w:sz="4.037439823150635" w:val="single" w:color="#000000"/>
                  </w:tcBorders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36" w:lineRule="exact" w:before="104" w:after="0"/>
              <w:ind w:left="1126" w:right="504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Note: ".." not available. e OECD estimate. See the end of this factsheet for country-specific notes.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Source: OECD Global Pension Statistics and other sources. </w:t>
            </w:r>
          </w:p>
        </w:tc>
      </w:tr>
    </w:tbl>
    <w:p>
      <w:pPr>
        <w:autoSpaceDN w:val="0"/>
        <w:autoSpaceDE w:val="0"/>
        <w:widowControl/>
        <w:spacing w:line="262" w:lineRule="auto" w:before="172" w:after="0"/>
        <w:ind w:left="1440" w:right="1392" w:firstLine="0"/>
        <w:jc w:val="both"/>
      </w:pPr>
      <w:r>
        <w:rPr>
          <w:rFonts w:ascii="Calibri" w:hAnsi="Calibri" w:eastAsia="Calibri"/>
          <w:b/>
          <w:i w:val="0"/>
          <w:color w:val="000000"/>
          <w:sz w:val="20"/>
        </w:rPr>
        <w:t>Assets grew in most reporting jurisdictions in 2024.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Among OECD countries, assets grew the fastest in the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Baltics, Greece and the Republic of Türkiye (hereafter, Türkiye),  increasing more than 20% in nominal terms and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national currency. A third of non-OECD jurisdictions also saw asset growth above 20%. Asset growth was more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moderate but still significant in large pension markets, such as Australia (10.3%), Canada (10.6%), the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Netherlands (8.2%), the United Kingdom (5.3%) and the United States (10.3%). The United States remained the </w:t>
      </w:r>
    </w:p>
    <w:p>
      <w:pPr>
        <w:autoSpaceDN w:val="0"/>
        <w:tabs>
          <w:tab w:pos="5898" w:val="left"/>
        </w:tabs>
        <w:autoSpaceDE w:val="0"/>
        <w:widowControl/>
        <w:spacing w:line="232" w:lineRule="exact" w:before="344" w:after="0"/>
        <w:ind w:left="1440" w:right="576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1</w:t>
      </w:r>
      <w:r>
        <w:rPr>
          <w:rFonts w:ascii="Calibri" w:hAnsi="Calibri" w:eastAsia="Calibri"/>
          <w:b w:val="0"/>
          <w:i w:val="0"/>
          <w:color w:val="0000FF"/>
          <w:sz w:val="20"/>
          <w:u w:val="single"/>
        </w:rPr>
        <w:hyperlink r:id="rId16" w:history="1">
          <w:r>
            <w:rPr>
              <w:rStyle w:val="Hyperlink"/>
            </w:rPr>
            <w:t>Pension Markets in Focus 2024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0"/>
        </w:rPr>
        <w:t xml:space="preserve"> </w:t>
      </w:r>
      <w:r>
        <w:br/>
      </w:r>
      <w:r>
        <w:rPr>
          <w:rFonts w:ascii="Arial" w:hAnsi="Arial" w:eastAsia="Arial"/>
          <w:b/>
          <w:i w:val="0"/>
          <w:color w:val="4F81BD"/>
          <w:sz w:val="20"/>
        </w:rPr>
        <w:t>2</w:t>
      </w:r>
    </w:p>
    <w:p>
      <w:pPr>
        <w:sectPr>
          <w:pgSz w:w="11906" w:h="16841"/>
          <w:pgMar w:top="372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919480</wp:posOffset>
            </wp:positionH>
            <wp:positionV relativeFrom="page">
              <wp:posOffset>5701030</wp:posOffset>
            </wp:positionV>
            <wp:extent cx="5745480" cy="4289282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42892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588" w:val="left"/>
        </w:tabs>
        <w:autoSpaceDE w:val="0"/>
        <w:widowControl/>
        <w:spacing w:line="197" w:lineRule="auto" w:before="0" w:after="0"/>
        <w:ind w:left="143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PENSION MARKETS IN FOCUS – PRELIMINARY 2024 DATA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JUNE 2025 </w:t>
      </w:r>
    </w:p>
    <w:p>
      <w:pPr>
        <w:autoSpaceDN w:val="0"/>
        <w:autoSpaceDE w:val="0"/>
        <w:widowControl/>
        <w:spacing w:line="262" w:lineRule="auto" w:before="554" w:after="0"/>
        <w:ind w:left="1440" w:right="139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country with the largest amount of pension assets in USD at end-2024 (USD 42.9 trillion), while Denmark had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the largest amount relative to the size of its economy (over twice the amount of GDP at end-2024). Assets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declined in only 3 out of the 73 reporting jurisdictions: Portugal (a modest decline of 0.9%), Guyana (largely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attributable to the change in the fair value of equity investments) and Peru (due to the seventh early withdrawal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of funds in 2024). </w:t>
      </w:r>
    </w:p>
    <w:p>
      <w:pPr>
        <w:autoSpaceDN w:val="0"/>
        <w:autoSpaceDE w:val="0"/>
        <w:widowControl/>
        <w:spacing w:line="266" w:lineRule="auto" w:before="284" w:after="0"/>
        <w:ind w:left="1440" w:right="1392" w:firstLine="0"/>
        <w:jc w:val="both"/>
      </w:pPr>
      <w:r>
        <w:rPr>
          <w:rFonts w:ascii="Calibri" w:hAnsi="Calibri" w:eastAsia="Calibri"/>
          <w:b/>
          <w:i w:val="0"/>
          <w:color w:val="000000"/>
          <w:sz w:val="20"/>
        </w:rPr>
        <w:t>In several jurisdictions, asset growth in 2024 was the result of increasing amounts of contributions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, due to the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rise in the number of individuals participating in pension plans. In Türkiye, average monthly contributions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increased by 57%. In Estonia, while the number of members of workplace pension plans was stable, the number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of members of voluntary pension plans increased by 5.5%. Assets in the Slovak Republic increased by nearly 20%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in 2024, with the number of people participating in workplace pension plans increasing following the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introduction of automatic enrolment in 2023. Other jurisdictions also reported an increase in the amount of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contributions, exceeding payouts and thereby supporting asset growth (e.g. Australia, Armenia). </w:t>
      </w:r>
    </w:p>
    <w:p>
      <w:pPr>
        <w:autoSpaceDN w:val="0"/>
        <w:autoSpaceDE w:val="0"/>
        <w:widowControl/>
        <w:spacing w:line="245" w:lineRule="auto" w:before="284" w:after="0"/>
        <w:ind w:left="1440" w:right="1296" w:firstLine="0"/>
        <w:jc w:val="left"/>
      </w:pPr>
      <w:r>
        <w:rPr>
          <w:rFonts w:ascii="Calibri" w:hAnsi="Calibri" w:eastAsia="Calibri"/>
          <w:b/>
          <w:i w:val="0"/>
          <w:color w:val="000000"/>
          <w:sz w:val="20"/>
        </w:rPr>
        <w:t xml:space="preserve">In many jurisdictions, growth in pension assets was also the result of the investment gains made by pension </w:t>
      </w:r>
      <w:r>
        <w:rPr>
          <w:rFonts w:ascii="Calibri" w:hAnsi="Calibri" w:eastAsia="Calibri"/>
          <w:b/>
          <w:i w:val="0"/>
          <w:color w:val="000000"/>
          <w:sz w:val="20"/>
        </w:rPr>
        <w:t>providers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, which posted positive investment rates of return in 2024. </w:t>
      </w:r>
    </w:p>
    <w:p>
      <w:pPr>
        <w:autoSpaceDN w:val="0"/>
        <w:autoSpaceDE w:val="0"/>
        <w:widowControl/>
        <w:spacing w:line="197" w:lineRule="auto" w:before="294" w:after="0"/>
        <w:ind w:left="1440" w:right="0" w:firstLine="0"/>
        <w:jc w:val="left"/>
      </w:pPr>
      <w:r>
        <w:rPr>
          <w:rFonts w:ascii="Calibri" w:hAnsi="Calibri" w:eastAsia="Calibri"/>
          <w:b/>
          <w:i w:val="0"/>
          <w:color w:val="365F91"/>
          <w:sz w:val="26"/>
        </w:rPr>
        <w:t xml:space="preserve">Pension providers recorded widespread investment gains in 2024 </w:t>
      </w:r>
    </w:p>
    <w:p>
      <w:pPr>
        <w:autoSpaceDN w:val="0"/>
        <w:autoSpaceDE w:val="0"/>
        <w:widowControl/>
        <w:spacing w:line="266" w:lineRule="auto" w:before="288" w:after="22"/>
        <w:ind w:left="1440" w:right="1392" w:firstLine="0"/>
        <w:jc w:val="both"/>
      </w:pPr>
      <w:r>
        <w:rPr>
          <w:rFonts w:ascii="Calibri" w:hAnsi="Calibri" w:eastAsia="Calibri"/>
          <w:b/>
          <w:i w:val="0"/>
          <w:color w:val="000000"/>
          <w:sz w:val="20"/>
        </w:rPr>
        <w:t xml:space="preserve">Pension providers recorded widespread investment gains in 2024, with investment rates of return exceeding </w:t>
      </w:r>
      <w:r>
        <w:rPr>
          <w:rFonts w:ascii="Calibri" w:hAnsi="Calibri" w:eastAsia="Calibri"/>
          <w:b/>
          <w:i w:val="0"/>
          <w:color w:val="000000"/>
          <w:sz w:val="20"/>
        </w:rPr>
        <w:t xml:space="preserve">inflation in most jurisdictions. </w:t>
      </w:r>
      <w:r>
        <w:rPr>
          <w:rFonts w:ascii="Calibri" w:hAnsi="Calibri" w:eastAsia="Calibri"/>
          <w:b w:val="0"/>
          <w:i w:val="0"/>
          <w:color w:val="000000"/>
          <w:sz w:val="20"/>
        </w:rPr>
        <w:t>Figure 1 shows that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pension plans achieved a positive real investment rate of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return in 27 out of 29 reporting OECD countries, and in 26 out of 33 non-OECD reporting jurisdictions. Among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OECD countries, investment rates of return were the highest in real terms in Estonia (11.3%), the Slovak Republic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(11.1%), Lithuania (10.8%) and Israel (10.1%). Real investment rates of return also exceeded 10% in 2024 in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Kazakhstan and Pakistan. Countries with negative real investment rates of return had a lower nominal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investment rate of return (e.g. Brazil, Guyana, Poland) or higher inflation (e.g. Angola, Egypt, Nigeria and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Türkiye).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40.0" w:type="dxa"/>
      </w:tblPr>
      <w:tblGrid>
        <w:gridCol w:w="9026"/>
      </w:tblGrid>
      <w:tr>
        <w:trPr>
          <w:trHeight w:hRule="exact" w:val="6900"/>
        </w:trPr>
        <w:tc>
          <w:tcPr>
            <w:tcW w:type="dxa" w:w="9060"/>
            <w:tcBorders>
              <w:start w:sz="12.0" w:val="single" w:color="#CBCCCB"/>
              <w:top w:sz="12.0" w:val="single" w:color="#CBCCCB"/>
              <w:end w:sz="12.0" w:val="single" w:color="#CBCCCB"/>
              <w:bottom w:sz="12.0" w:val="single" w:color="#CBCCCB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86" w:after="0"/>
              <w:ind w:left="288" w:right="288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Figure 1. Investment rates of return of asset-backed pension arrangements, Dec 2023 - Dec 2024 (preliminary)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In per cent </w:t>
            </w:r>
          </w:p>
          <w:p>
            <w:pPr>
              <w:autoSpaceDN w:val="0"/>
              <w:autoSpaceDE w:val="0"/>
              <w:widowControl/>
              <w:spacing w:line="158" w:lineRule="exact" w:before="5848" w:after="0"/>
              <w:ind w:left="974" w:right="259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Note: See the end of this factsheet for methodological notes and more details for some jurisdictions.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Source: OECD Global Pension Statistics </w:t>
            </w:r>
          </w:p>
        </w:tc>
      </w:tr>
    </w:tbl>
    <w:p>
      <w:pPr>
        <w:autoSpaceDN w:val="0"/>
        <w:autoSpaceDE w:val="0"/>
        <w:widowControl/>
        <w:spacing w:line="222" w:lineRule="exact" w:before="0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4F81BD"/>
          <w:sz w:val="20"/>
        </w:rPr>
        <w:t>3</w:t>
      </w:r>
    </w:p>
    <w:p>
      <w:pPr>
        <w:sectPr>
          <w:pgSz w:w="11906" w:h="16841"/>
          <w:pgMar w:top="374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4"/>
        <w:ind w:left="0" w:right="0"/>
      </w:pPr>
    </w:p>
    <w:p>
      <w:pPr>
        <w:autoSpaceDN w:val="0"/>
        <w:tabs>
          <w:tab w:pos="9588" w:val="left"/>
        </w:tabs>
        <w:autoSpaceDE w:val="0"/>
        <w:widowControl/>
        <w:spacing w:line="197" w:lineRule="auto" w:before="0" w:after="0"/>
        <w:ind w:left="143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PENSION MARKETS IN FOCUS – PRELIMINARY 2024 DATA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JUNE 2025 </w:t>
      </w:r>
    </w:p>
    <w:p>
      <w:pPr>
        <w:autoSpaceDN w:val="0"/>
        <w:autoSpaceDE w:val="0"/>
        <w:widowControl/>
        <w:spacing w:line="264" w:lineRule="auto" w:before="554" w:after="0"/>
        <w:ind w:left="1440" w:right="1296" w:firstLine="0"/>
        <w:jc w:val="left"/>
      </w:pPr>
      <w:r>
        <w:rPr>
          <w:rFonts w:ascii="Calibri" w:hAnsi="Calibri" w:eastAsia="Calibri"/>
          <w:b/>
          <w:i w:val="0"/>
          <w:color w:val="000000"/>
          <w:sz w:val="20"/>
        </w:rPr>
        <w:t xml:space="preserve">Pension providers recorded positive nominal investment rates of return in nearly all jurisdictions in 2024.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The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nominal investment rate of return was close to 10% in some of the largest pension markets (e.g. 9% in Australia,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8.2% in the Netherlands, 8.9% in the United States). Guyana is the only participating jurisdiction with a negative </w:t>
      </w:r>
      <w:r>
        <w:rPr>
          <w:rFonts w:ascii="Calibri" w:hAnsi="Calibri" w:eastAsia="Calibri"/>
          <w:b w:val="0"/>
          <w:i w:val="0"/>
          <w:color w:val="000000"/>
          <w:sz w:val="20"/>
        </w:rPr>
        <w:t>nominal rate of return, due to the significant market value depreciation of equities and the unavailability of high-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quality long-term investment instruments domestically, compounded by the statutory limit on foreign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investments. </w:t>
      </w:r>
    </w:p>
    <w:p>
      <w:pPr>
        <w:autoSpaceDN w:val="0"/>
        <w:autoSpaceDE w:val="0"/>
        <w:widowControl/>
        <w:spacing w:line="197" w:lineRule="auto" w:before="294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365F91"/>
          <w:sz w:val="26"/>
        </w:rPr>
        <w:t xml:space="preserve">The positive performance of pension providers reflects rising valuations in equity </w:t>
      </w:r>
    </w:p>
    <w:p>
      <w:pPr>
        <w:autoSpaceDN w:val="0"/>
        <w:autoSpaceDE w:val="0"/>
        <w:widowControl/>
        <w:spacing w:line="197" w:lineRule="auto" w:before="106" w:after="0"/>
        <w:ind w:left="1440" w:right="0" w:firstLine="0"/>
        <w:jc w:val="left"/>
      </w:pPr>
      <w:r>
        <w:rPr>
          <w:rFonts w:ascii="Calibri" w:hAnsi="Calibri" w:eastAsia="Calibri"/>
          <w:b/>
          <w:i w:val="0"/>
          <w:color w:val="365F91"/>
          <w:sz w:val="26"/>
        </w:rPr>
        <w:t xml:space="preserve">markets </w:t>
      </w:r>
    </w:p>
    <w:p>
      <w:pPr>
        <w:autoSpaceDN w:val="0"/>
        <w:autoSpaceDE w:val="0"/>
        <w:widowControl/>
        <w:spacing w:line="257" w:lineRule="auto" w:before="296" w:after="0"/>
        <w:ind w:left="1440" w:right="1394" w:firstLine="0"/>
        <w:jc w:val="both"/>
      </w:pPr>
      <w:r>
        <w:rPr>
          <w:rFonts w:ascii="Calibri" w:hAnsi="Calibri" w:eastAsia="Calibri"/>
          <w:b/>
          <w:i w:val="0"/>
          <w:color w:val="000000"/>
          <w:sz w:val="20"/>
        </w:rPr>
        <w:t xml:space="preserve">The overall positive investment performance of pension providers reflects the rising valuations in equity </w:t>
      </w:r>
      <w:r>
        <w:rPr>
          <w:rFonts w:ascii="Calibri" w:hAnsi="Calibri" w:eastAsia="Calibri"/>
          <w:b/>
          <w:i w:val="0"/>
          <w:color w:val="000000"/>
          <w:sz w:val="20"/>
        </w:rPr>
        <w:t>markets worldwide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. Global equities delivered positive returns for the second year in a row, with the MSCI World </w:t>
      </w:r>
      <w:r>
        <w:rPr>
          <w:rFonts w:ascii="Calibri" w:hAnsi="Calibri" w:eastAsia="Calibri"/>
          <w:b w:val="0"/>
          <w:i w:val="0"/>
          <w:color w:val="000000"/>
          <w:sz w:val="20"/>
        </w:rPr>
        <w:t>Index growing again by close to 20% in 2024.</w:t>
      </w:r>
      <w:r>
        <w:rPr>
          <w:rFonts w:ascii="Calibri" w:hAnsi="Calibri" w:eastAsia="Calibri"/>
          <w:b w:val="0"/>
          <w:i w:val="0"/>
          <w:color w:val="000000"/>
          <w:sz w:val="13"/>
        </w:rPr>
        <w:t>2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Major stock indices grew in 2024, but with differences across </w:t>
      </w:r>
      <w:r>
        <w:rPr>
          <w:rFonts w:ascii="Calibri" w:hAnsi="Calibri" w:eastAsia="Calibri"/>
          <w:b w:val="0"/>
          <w:i w:val="0"/>
          <w:color w:val="000000"/>
          <w:sz w:val="20"/>
        </w:rPr>
        <w:t>markets (e.g. 23% for S&amp;P 500, 19% for Nikkei 225 and DAX, 6% for FTSE).</w:t>
      </w:r>
      <w:r>
        <w:rPr>
          <w:rFonts w:ascii="Calibri" w:hAnsi="Calibri" w:eastAsia="Calibri"/>
          <w:b w:val="0"/>
          <w:i w:val="0"/>
          <w:color w:val="000000"/>
          <w:sz w:val="13"/>
        </w:rPr>
        <w:t>3</w:t>
      </w:r>
    </w:p>
    <w:p>
      <w:pPr>
        <w:autoSpaceDN w:val="0"/>
        <w:autoSpaceDE w:val="0"/>
        <w:widowControl/>
        <w:spacing w:line="266" w:lineRule="auto" w:before="284" w:after="0"/>
        <w:ind w:left="1440" w:right="1392" w:firstLine="0"/>
        <w:jc w:val="both"/>
      </w:pPr>
      <w:r>
        <w:rPr>
          <w:rFonts w:ascii="Calibri" w:hAnsi="Calibri" w:eastAsia="Calibri"/>
          <w:b/>
          <w:i w:val="0"/>
          <w:color w:val="000000"/>
          <w:sz w:val="20"/>
        </w:rPr>
        <w:t xml:space="preserve">Pension providers investing the most in equities benefitted from favourable developments in equity markets.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Pension providers invest mostly in bonds and equities, although the asset mix varies across countries. Pension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providers that had the highest real investment rates of return in 2024 in the OECD - i.e. Estonia, Lithuania and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the Slovak Republic - had over 60% of assets in equities, far more than most other jurisdictions (Figure 2).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Mandatory provident funds in Hong Kong (China) and pension providers in Malawi, which also held over 60% of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assets in equities, also recorded relatively strong nominal investment returns. Pension funds in Poland represent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an exception, with a relatively low nominal rate of return (negative in real terms) despite a high proportion of </w:t>
      </w:r>
      <w:r>
        <w:rPr>
          <w:rFonts w:ascii="Calibri" w:hAnsi="Calibri" w:eastAsia="Calibri"/>
          <w:b w:val="0"/>
          <w:i w:val="0"/>
          <w:color w:val="000000"/>
          <w:sz w:val="20"/>
        </w:rPr>
        <w:t>assets in equities, as the main local equity index rose by less than 2% in 2024.</w:t>
      </w:r>
      <w:r>
        <w:rPr>
          <w:rFonts w:ascii="Calibri" w:hAnsi="Calibri" w:eastAsia="Calibri"/>
          <w:b w:val="0"/>
          <w:i w:val="0"/>
          <w:color w:val="000000"/>
          <w:sz w:val="13"/>
        </w:rPr>
        <w:t>4</w:t>
      </w:r>
    </w:p>
    <w:p>
      <w:pPr>
        <w:autoSpaceDN w:val="0"/>
        <w:autoSpaceDE w:val="0"/>
        <w:widowControl/>
        <w:spacing w:line="245" w:lineRule="auto" w:before="6910" w:after="0"/>
        <w:ind w:left="1440" w:right="216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2</w:t>
      </w:r>
      <w:r>
        <w:rPr>
          <w:rFonts w:ascii="Calibri" w:hAnsi="Calibri" w:eastAsia="Calibri"/>
          <w:b w:val="0"/>
          <w:i w:val="0"/>
          <w:color w:val="0000FF"/>
          <w:sz w:val="20"/>
          <w:u w:val="single"/>
        </w:rPr>
        <w:hyperlink r:id="rId18" w:history="1">
          <w:r>
            <w:rPr>
              <w:rStyle w:val="Hyperlink"/>
            </w:rPr>
            <w:t xml:space="preserve">MSCI World Index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00"/>
          <w:sz w:val="13"/>
        </w:rPr>
        <w:t>3</w:t>
      </w:r>
      <w:r>
        <w:rPr>
          <w:rFonts w:ascii="Calibri" w:hAnsi="Calibri" w:eastAsia="Calibri"/>
          <w:b w:val="0"/>
          <w:i w:val="0"/>
          <w:color w:val="0000FF"/>
          <w:sz w:val="20"/>
          <w:u w:val="single"/>
        </w:rPr>
        <w:hyperlink r:id="rId19" w:history="1">
          <w:r>
            <w:rPr>
              <w:rStyle w:val="Hyperlink"/>
            </w:rPr>
            <w:t>A Review of the Global and Local Securities Markets in 2024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rFonts w:ascii="Calibri" w:hAnsi="Calibri" w:eastAsia="Calibri"/>
          <w:b w:val="0"/>
          <w:i w:val="0"/>
          <w:color w:val="0000FF"/>
          <w:sz w:val="20"/>
          <w:u w:val="single"/>
        </w:rPr>
        <w:hyperlink r:id="rId20" w:history="1">
          <w:r>
            <w:rPr>
              <w:rStyle w:val="Hyperlink"/>
            </w:rPr>
            <w:t xml:space="preserve">Global Equity Markets 2024 Review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13"/>
        </w:rPr>
        <w:t>4</w:t>
      </w:r>
      <w:r>
        <w:rPr>
          <w:rFonts w:ascii="Calibri" w:hAnsi="Calibri" w:eastAsia="Calibri"/>
          <w:b w:val="0"/>
          <w:i w:val="0"/>
          <w:color w:val="0000FF"/>
          <w:sz w:val="20"/>
          <w:u w:val="single"/>
        </w:rPr>
        <w:hyperlink r:id="rId21" w:history="1">
          <w:r>
            <w:rPr>
              <w:rStyle w:val="Hyperlink"/>
            </w:rPr>
            <w:t>GPW Main Market - News</w:t>
          </w:r>
        </w:hyperlink>
      </w:r>
    </w:p>
    <w:p>
      <w:pPr>
        <w:autoSpaceDN w:val="0"/>
        <w:autoSpaceDE w:val="0"/>
        <w:widowControl/>
        <w:spacing w:line="222" w:lineRule="exact" w:before="254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4F81BD"/>
          <w:sz w:val="20"/>
        </w:rPr>
        <w:t>4</w:t>
      </w:r>
    </w:p>
    <w:p>
      <w:pPr>
        <w:sectPr>
          <w:pgSz w:w="11906" w:h="16841"/>
          <w:pgMar w:top="374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</wp:posOffset>
            </wp:positionH>
            <wp:positionV relativeFrom="page">
              <wp:posOffset>1050290</wp:posOffset>
            </wp:positionV>
            <wp:extent cx="6601460" cy="4922531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4922531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00.0" w:type="dxa"/>
      </w:tblPr>
      <w:tblGrid>
        <w:gridCol w:w="4513"/>
        <w:gridCol w:w="4513"/>
      </w:tblGrid>
      <w:tr>
        <w:trPr>
          <w:trHeight w:hRule="exact" w:val="240"/>
        </w:trPr>
        <w:tc>
          <w:tcPr>
            <w:tcW w:type="dxa" w:w="6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73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PENSION MARKETS IN FOCUS – PRELIMINARY 2024 DATA 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7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JUNE 2025 </w:t>
            </w:r>
          </w:p>
        </w:tc>
      </w:tr>
    </w:tbl>
    <w:p>
      <w:pPr>
        <w:autoSpaceDN w:val="0"/>
        <w:autoSpaceDE w:val="0"/>
        <w:widowControl/>
        <w:spacing w:line="4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90.0" w:type="dxa"/>
      </w:tblPr>
      <w:tblGrid>
        <w:gridCol w:w="9026"/>
      </w:tblGrid>
      <w:tr>
        <w:trPr>
          <w:trHeight w:hRule="exact" w:val="8014"/>
        </w:trPr>
        <w:tc>
          <w:tcPr>
            <w:tcW w:type="dxa" w:w="10410"/>
            <w:tcBorders>
              <w:start w:sz="12.0" w:val="single" w:color="#CBCCCB"/>
              <w:top w:sz="12.0" w:val="single" w:color="#CBCCCB"/>
              <w:end w:sz="12.0" w:val="single" w:color="#CBCCCB"/>
              <w:bottom w:sz="12.0" w:val="single" w:color="#CBCCCB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84" w:after="0"/>
              <w:ind w:left="1440" w:right="1296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Figure 2. Allocation of pension assets in selected investment categories at end-2024 (preliminary)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As a percentage of total investment </w:t>
            </w:r>
          </w:p>
          <w:p>
            <w:pPr>
              <w:autoSpaceDN w:val="0"/>
              <w:autoSpaceDE w:val="0"/>
              <w:widowControl/>
              <w:spacing w:line="158" w:lineRule="exact" w:before="6924" w:after="0"/>
              <w:ind w:left="138" w:right="489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Note: See the end of this factsheet for methodological notes and more details for some jurisdictions.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Source: OECD Global Pension Statistics; Bank of Japan. </w:t>
            </w:r>
          </w:p>
        </w:tc>
      </w:tr>
    </w:tbl>
    <w:p>
      <w:pPr>
        <w:autoSpaceDN w:val="0"/>
        <w:autoSpaceDE w:val="0"/>
        <w:widowControl/>
        <w:spacing w:line="269" w:lineRule="auto" w:before="182" w:after="0"/>
        <w:ind w:left="1440" w:right="1392" w:firstLine="0"/>
        <w:jc w:val="both"/>
      </w:pPr>
      <w:r>
        <w:rPr>
          <w:rFonts w:ascii="Calibri" w:hAnsi="Calibri" w:eastAsia="Calibri"/>
          <w:b/>
          <w:i w:val="0"/>
          <w:color w:val="000000"/>
          <w:sz w:val="20"/>
        </w:rPr>
        <w:t xml:space="preserve">Pension providers may have achieved more mixed results on their bond holdings.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Despite the easing of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inflationary pressures and the recent decline in short-term policy rates, the average yields to maturity of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government bonds remained stable, with government bond yields of different maturities evolving differently </w:t>
      </w:r>
      <w:r>
        <w:rPr>
          <w:rFonts w:ascii="Calibri" w:hAnsi="Calibri" w:eastAsia="Calibri"/>
          <w:b w:val="0"/>
          <w:i w:val="0"/>
          <w:color w:val="000000"/>
          <w:sz w:val="20"/>
        </w:rPr>
        <w:t>around the world in 2024.</w:t>
      </w:r>
      <w:r>
        <w:rPr>
          <w:rFonts w:ascii="Calibri" w:hAnsi="Calibri" w:eastAsia="Calibri"/>
          <w:b w:val="0"/>
          <w:i w:val="0"/>
          <w:color w:val="000000"/>
          <w:sz w:val="13"/>
        </w:rPr>
        <w:t>5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Short-term yields generally fell,  while long-term yields either declined but less so, or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in some cases, increased amid heightened macro-financial uncertainty, resilient output growth and increased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budget deficits. A decline in short-term yields leads to an increase in prices of short-dated bonds and therefore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gains on those that are in the investment portfolios of pension providers. However, the prices of long-dated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(high duration) government bonds declined in some OECD countries, such as the United States, Japan and some </w:t>
      </w:r>
      <w:r>
        <w:rPr>
          <w:rFonts w:ascii="Calibri" w:hAnsi="Calibri" w:eastAsia="Calibri"/>
          <w:b w:val="0"/>
          <w:i w:val="0"/>
          <w:color w:val="000000"/>
          <w:sz w:val="20"/>
        </w:rPr>
        <w:t>European countries, leading to losses on those bonds.</w:t>
      </w:r>
      <w:r>
        <w:rPr>
          <w:rFonts w:ascii="Calibri" w:hAnsi="Calibri" w:eastAsia="Calibri"/>
          <w:b w:val="0"/>
          <w:i w:val="0"/>
          <w:color w:val="000000"/>
          <w:sz w:val="13"/>
        </w:rPr>
        <w:t>6</w:t>
      </w:r>
    </w:p>
    <w:p>
      <w:pPr>
        <w:autoSpaceDN w:val="0"/>
        <w:autoSpaceDE w:val="0"/>
        <w:widowControl/>
        <w:spacing w:line="250" w:lineRule="auto" w:before="286" w:after="0"/>
        <w:ind w:left="1440" w:right="1392" w:firstLine="0"/>
        <w:jc w:val="both"/>
      </w:pPr>
      <w:r>
        <w:rPr>
          <w:rFonts w:ascii="Calibri" w:hAnsi="Calibri" w:eastAsia="Calibri"/>
          <w:b w:val="0"/>
          <w:i/>
          <w:color w:val="000000"/>
          <w:sz w:val="20"/>
        </w:rPr>
        <w:t xml:space="preserve">The full version of the 2025 edition of Pension Markets in Focus, due out in Q4 2025, will further explore the </w:t>
      </w:r>
      <w:r>
        <w:rPr>
          <w:rFonts w:ascii="Calibri" w:hAnsi="Calibri" w:eastAsia="Calibri"/>
          <w:b w:val="0"/>
          <w:i/>
          <w:color w:val="000000"/>
          <w:sz w:val="20"/>
        </w:rPr>
        <w:t xml:space="preserve">factors behind the growth in pension assets, their investment performance, the asset allocation and its evolution </w:t>
      </w:r>
      <w:r>
        <w:rPr>
          <w:rFonts w:ascii="Calibri" w:hAnsi="Calibri" w:eastAsia="Calibri"/>
          <w:b w:val="0"/>
          <w:i/>
          <w:color w:val="000000"/>
          <w:sz w:val="20"/>
        </w:rPr>
        <w:t xml:space="preserve">in 2024. </w:t>
      </w:r>
    </w:p>
    <w:p>
      <w:pPr>
        <w:autoSpaceDN w:val="0"/>
        <w:autoSpaceDE w:val="0"/>
        <w:widowControl/>
        <w:spacing w:line="245" w:lineRule="auto" w:before="1550" w:after="0"/>
        <w:ind w:left="1440" w:right="1296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5</w:t>
      </w:r>
      <w:r>
        <w:rPr>
          <w:rFonts w:ascii="Calibri" w:hAnsi="Calibri" w:eastAsia="Calibri"/>
          <w:b w:val="0"/>
          <w:i w:val="0"/>
          <w:color w:val="0000FF"/>
          <w:sz w:val="20"/>
          <w:u w:val="single"/>
        </w:rPr>
        <w:hyperlink r:id="rId22" w:history="1">
          <w:r>
            <w:rPr>
              <w:rStyle w:val="Hyperlink"/>
            </w:rPr>
            <w:t xml:space="preserve">OECD Global Debt Report 2025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00"/>
          <w:sz w:val="13"/>
        </w:rPr>
        <w:t>6</w:t>
      </w:r>
      <w:r>
        <w:rPr>
          <w:rFonts w:ascii="Calibri" w:hAnsi="Calibri" w:eastAsia="Calibri"/>
          <w:b w:val="0"/>
          <w:i w:val="0"/>
          <w:color w:val="0000FF"/>
          <w:sz w:val="20"/>
          <w:u w:val="single"/>
        </w:rPr>
        <w:hyperlink r:id="rId23" w:history="1">
          <w:r>
            <w:rPr>
              <w:rStyle w:val="Hyperlink"/>
            </w:rPr>
            <w:t>AP3 Annual Report 2024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0"/>
        </w:rPr>
        <w:hyperlink r:id="rId23" w:history="1">
          <w:r>
            <w:rPr>
              <w:rStyle w:val="Hyperlink"/>
            </w:rPr>
            <w:t>,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rFonts w:ascii="Calibri" w:hAnsi="Calibri" w:eastAsia="Calibri"/>
          <w:b w:val="0"/>
          <w:i w:val="0"/>
          <w:color w:val="0000FF"/>
          <w:sz w:val="20"/>
          <w:u w:val="single"/>
        </w:rPr>
        <w:hyperlink r:id="rId24" w:history="1">
          <w:r>
            <w:rPr>
              <w:rStyle w:val="Hyperlink"/>
            </w:rPr>
            <w:t>OECD Economic Outlook, Interim Report March 2025 | OECD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rFonts w:ascii="Calibri" w:hAnsi="Calibri" w:eastAsia="Calibri"/>
          <w:b w:val="0"/>
          <w:i w:val="0"/>
          <w:color w:val="0000FF"/>
          <w:sz w:val="20"/>
          <w:u w:val="single"/>
        </w:rPr>
        <w:hyperlink r:id="rId22" w:history="1">
          <w:r>
            <w:rPr>
              <w:rStyle w:val="Hyperlink"/>
            </w:rPr>
            <w:t>OECD Global Debt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0"/>
        </w:rPr>
        <w:t xml:space="preserve"> </w:t>
      </w:r>
      <w:r>
        <w:rPr>
          <w:rFonts w:ascii="Calibri" w:hAnsi="Calibri" w:eastAsia="Calibri"/>
          <w:b w:val="0"/>
          <w:i w:val="0"/>
          <w:color w:val="0000FF"/>
          <w:sz w:val="20"/>
          <w:u w:val="single"/>
        </w:rPr>
        <w:hyperlink r:id="rId22" w:history="1">
          <w:r>
            <w:rPr>
              <w:rStyle w:val="Hyperlink"/>
            </w:rPr>
            <w:t>Report 2025</w:t>
          </w:r>
        </w:hyperlink>
      </w:r>
    </w:p>
    <w:p>
      <w:pPr>
        <w:autoSpaceDN w:val="0"/>
        <w:autoSpaceDE w:val="0"/>
        <w:widowControl/>
        <w:spacing w:line="222" w:lineRule="exact" w:before="254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4F81BD"/>
          <w:sz w:val="20"/>
        </w:rPr>
        <w:t>5</w:t>
      </w:r>
    </w:p>
    <w:p>
      <w:pPr>
        <w:sectPr>
          <w:pgSz w:w="11906" w:h="16841"/>
          <w:pgMar w:top="374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4"/>
        <w:ind w:left="0" w:right="0"/>
      </w:pPr>
    </w:p>
    <w:p>
      <w:pPr>
        <w:autoSpaceDN w:val="0"/>
        <w:tabs>
          <w:tab w:pos="9588" w:val="left"/>
        </w:tabs>
        <w:autoSpaceDE w:val="0"/>
        <w:widowControl/>
        <w:spacing w:line="197" w:lineRule="auto" w:before="0" w:after="0"/>
        <w:ind w:left="143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PENSION MARKETS IN FOCUS – PRELIMINARY 2024 DATA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JUNE 2025 </w:t>
      </w:r>
    </w:p>
    <w:p>
      <w:pPr>
        <w:autoSpaceDN w:val="0"/>
        <w:autoSpaceDE w:val="0"/>
        <w:widowControl/>
        <w:spacing w:line="194" w:lineRule="auto" w:before="642" w:after="0"/>
        <w:ind w:left="970" w:right="0" w:firstLine="0"/>
        <w:jc w:val="left"/>
      </w:pPr>
      <w:r>
        <w:rPr>
          <w:shd w:val="clear" w:color="auto" w:fill="4f81bc"/>
          <w:rFonts w:ascii="Calibri" w:hAnsi="Calibri" w:eastAsia="Calibri"/>
          <w:b/>
          <w:i w:val="0"/>
          <w:color w:val="FFFFFF"/>
          <w:sz w:val="20"/>
        </w:rPr>
        <w:t xml:space="preserve">METHODOLOGICAL NOTES </w:t>
      </w:r>
    </w:p>
    <w:p>
      <w:pPr>
        <w:autoSpaceDN w:val="0"/>
        <w:autoSpaceDE w:val="0"/>
        <w:widowControl/>
        <w:spacing w:line="245" w:lineRule="auto" w:before="94" w:after="0"/>
        <w:ind w:left="970" w:right="720" w:firstLine="0"/>
        <w:jc w:val="left"/>
      </w:pPr>
      <w:r>
        <w:rPr>
          <w:rFonts w:ascii="Calibri" w:hAnsi="Calibri" w:eastAsia="Calibri"/>
          <w:b/>
          <w:i/>
          <w:color w:val="FFFFFF"/>
          <w:sz w:val="16"/>
        </w:rPr>
        <w:t>General: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 Data are collected from pension supervisory authorities or other bodies within the framework of the OECD Global Pension Statistics (GPS) project. </w:t>
      </w:r>
      <w:r>
        <w:rPr>
          <w:rFonts w:ascii="Calibri" w:hAnsi="Calibri" w:eastAsia="Calibri"/>
          <w:b w:val="0"/>
          <w:i w:val="0"/>
          <w:color w:val="FFFFFF"/>
          <w:sz w:val="16"/>
        </w:rPr>
        <w:t>This exercise covers all asset-backed pension arrangements where assets are accumulated to back future benefit payments, except reserves of public (pay-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as-you-go) pension arrangements. Asset-backed pension plans may be financed through different vehicles (such as pension funds, pension insurance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contracts, bank or investment company managed funds), publicly or privately administered, mandatory or voluntary, occupational or personal, defined benefit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(DB) or defined contribution (DC), for public or private-sector workers. Employers’ book reserves are also in the scope. The classification of pension plans and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the related definitions are available in </w:t>
      </w:r>
      <w:r>
        <w:rPr>
          <w:rFonts w:ascii="Calibri" w:hAnsi="Calibri" w:eastAsia="Calibri"/>
          <w:b w:val="0"/>
          <w:i/>
          <w:color w:val="FFFFFF"/>
          <w:sz w:val="16"/>
        </w:rPr>
        <w:t>Private Pensions: OECD Classification and Glossar</w:t>
      </w:r>
      <w:r>
        <w:rPr>
          <w:rFonts w:ascii="Calibri" w:hAnsi="Calibri" w:eastAsia="Calibri"/>
          <w:b w:val="0"/>
          <w:i w:val="0"/>
          <w:color w:val="FFFFFF"/>
          <w:sz w:val="16"/>
        </w:rPr>
        <w:t>y, accessible at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 </w:t>
      </w:r>
      <w:r>
        <w:rPr>
          <w:rFonts w:ascii="Calibri" w:hAnsi="Calibri" w:eastAsia="Calibri"/>
          <w:b w:val="0"/>
          <w:i w:val="0"/>
          <w:color w:val="FFFFFF"/>
          <w:sz w:val="16"/>
          <w:u w:val="single"/>
        </w:rPr>
        <w:hyperlink r:id="rId26" w:history="1">
          <w:r>
            <w:rPr>
              <w:rStyle w:val="Hyperlink"/>
            </w:rPr>
            <w:t>Private Pensions | OECD</w:t>
          </w:r>
        </w:hyperlink>
      </w:r>
      <w:r>
        <w:rPr>
          <w:rFonts w:ascii="Calibri" w:hAnsi="Calibri" w:eastAsia="Calibri"/>
          <w:b w:val="0"/>
          <w:i w:val="0"/>
          <w:color w:val="FFFFFF"/>
          <w:sz w:val="16"/>
        </w:rPr>
        <w:hyperlink r:id="rId26" w:history="1">
          <w:r>
            <w:rPr>
              <w:rStyle w:val="Hyperlink"/>
            </w:rPr>
            <w:t>.</w:t>
          </w:r>
        </w:hyperlink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 Data are preliminary and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may be revised in the 2025 edition of the full report </w:t>
      </w:r>
      <w:r>
        <w:rPr>
          <w:rFonts w:ascii="Calibri" w:hAnsi="Calibri" w:eastAsia="Calibri"/>
          <w:b w:val="0"/>
          <w:i/>
          <w:color w:val="FFFFFF"/>
          <w:sz w:val="16"/>
        </w:rPr>
        <w:t>Pension Markets in Focus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 (forthcoming). </w:t>
      </w:r>
    </w:p>
    <w:p>
      <w:pPr>
        <w:autoSpaceDN w:val="0"/>
        <w:autoSpaceDE w:val="0"/>
        <w:widowControl/>
        <w:spacing w:line="245" w:lineRule="auto" w:before="230" w:after="0"/>
        <w:ind w:left="970" w:right="746" w:firstLine="0"/>
        <w:jc w:val="both"/>
      </w:pP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Data on stock variables refer to the end of 2024, except for: Australia where data refer to the end of June 2024; Canada, the United Kingdom and the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United States (for individual retirement accounts) where data refer to end Q3-2024. Data on flow variables cover the whole year 2024, except for Australia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(June 2023-June 2024) and Canada (Jan-Sept 2024). </w:t>
      </w:r>
    </w:p>
    <w:p>
      <w:pPr>
        <w:autoSpaceDN w:val="0"/>
        <w:autoSpaceDE w:val="0"/>
        <w:widowControl/>
        <w:spacing w:line="245" w:lineRule="auto" w:before="232" w:after="0"/>
        <w:ind w:left="970" w:right="746" w:firstLine="0"/>
        <w:jc w:val="both"/>
      </w:pP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Unless stated otherwise, data cover all asset-backed pension arrangements in all vehicles, excluding reserves of public pension arrangements, in all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jurisdictions except: Australia (all schemes but Exempt Public Sector Superannuation Schemes that do not report data to the Australian Prudential Regulation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Authority); Austria (pension funds and some pension insurance contracts); Chile (plans managed by AFPs); Germany (Pensionskassen and Pensionsfonds); </w:t>
      </w:r>
      <w:r>
        <w:rPr>
          <w:rFonts w:ascii="Calibri" w:hAnsi="Calibri" w:eastAsia="Calibri"/>
          <w:b w:val="0"/>
          <w:i w:val="0"/>
          <w:color w:val="FFFFFF"/>
          <w:sz w:val="16"/>
        </w:rPr>
        <w:t>Greece (1</w:t>
      </w:r>
      <w:r>
        <w:rPr>
          <w:rFonts w:ascii="Calibri" w:hAnsi="Calibri" w:eastAsia="Calibri"/>
          <w:b w:val="0"/>
          <w:i w:val="0"/>
          <w:color w:val="FFFFFF"/>
          <w:sz w:val="10"/>
        </w:rPr>
        <w:t>st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 pillar fund TEKA and occupational pension funds); Hungary (all but IORP); Ireland (occupational pension schemes and personal retirement savings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accounts); Israel (pension funds); Japan (pension funds); Luxembourg (pension funds under the supervision of the CAA and CSSF); the Netherlands (pension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funds and premium pension institutions); Norway (pension funds); Türkiye (personal plans); the United Kingdom (pension funds) among OECD countries; and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Armenia (mandatory pension funds); Lesotho (occupational pension funds); Suriname (pension funds); and Zambia (private occupational pension schemes)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among other jurisdictions. </w:t>
      </w:r>
    </w:p>
    <w:p>
      <w:pPr>
        <w:autoSpaceDN w:val="0"/>
        <w:autoSpaceDE w:val="0"/>
        <w:widowControl/>
        <w:spacing w:line="245" w:lineRule="auto" w:before="230" w:after="0"/>
        <w:ind w:left="970" w:right="746" w:firstLine="0"/>
        <w:jc w:val="both"/>
      </w:pPr>
      <w:r>
        <w:rPr>
          <w:rFonts w:ascii="Calibri" w:hAnsi="Calibri" w:eastAsia="Calibri"/>
          <w:b/>
          <w:i/>
          <w:color w:val="FFFFFF"/>
          <w:sz w:val="16"/>
        </w:rPr>
        <w:t>Table 1: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 The table shows the amount of assets in all pension arrangements at end-2024. Investments are used as a proxy of assets. The column "% change"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shows the nominal change of assets in these arrangements in national currency compared to December 2023, except for Australia (June 2023). The column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"in USD million" is based on exchange rates coming from the OECD Data Explorer data warehouse, the IMF International Financial Statistics database or the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US department of Treasury (Papua New Guinea and Peru). The column "% GDP" is based on GDP values coming from OECD Data Explorer and the IMF World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Economic Outlook. (1) Data do not include net derivatives balance, property and 'any other assets not included elsewhere'. (2) The total % change is calculated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as the change of total assets in the considered area (in US dollar) between end-2023 and end-2024. The indicator “Total pension assets as a % of GDP” is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calculated as the ratio between the sum of all pension assets and the sum of all the GDPs (in US dollar) of the reporting jurisdictions in the area considered. </w:t>
      </w:r>
      <w:r>
        <w:rPr>
          <w:rFonts w:ascii="Calibri" w:hAnsi="Calibri" w:eastAsia="Calibri"/>
          <w:b w:val="0"/>
          <w:i w:val="0"/>
          <w:color w:val="FFFFFF"/>
          <w:sz w:val="16"/>
        </w:rPr>
        <w:t>(3) New currency introduced in Zimbabwe prevents the calculation of % change since 2023.</w:t>
      </w:r>
    </w:p>
    <w:p>
      <w:pPr>
        <w:autoSpaceDN w:val="0"/>
        <w:autoSpaceDE w:val="0"/>
        <w:widowControl/>
        <w:spacing w:line="245" w:lineRule="auto" w:before="228" w:after="0"/>
        <w:ind w:left="970" w:right="746" w:firstLine="0"/>
        <w:jc w:val="both"/>
      </w:pPr>
      <w:r>
        <w:rPr>
          <w:rFonts w:ascii="Calibri" w:hAnsi="Calibri" w:eastAsia="Calibri"/>
          <w:b/>
          <w:i/>
          <w:color w:val="FFFFFF"/>
          <w:sz w:val="16"/>
        </w:rPr>
        <w:t>Figure 1: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 Data have been calculated using a common formula for the average nominal net investment rate of return (ratio between the net investment income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at the end of the period and the average level of assets over the period) for all jurisdictions, except for Austria, Finland, Greece, Israel, Italy, the Netherlands,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the Slovak Republic and the United States among OECD countries and for Armenia, the Dominican Republic, Hong Kong (China) and Uruguay where values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come from the own calculations of national authorities or from other official sources. Average real net investment rates of return have been calculated using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the nominal investment rate of return (as described above) and the variation of the end-of-period consumer price index (extracted from OECD Data Explorer,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the IMF’s online database or the IMF's World Economic Outlook published in April 2025) for the same period over which the nominal return is calculated, i.e.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between June 2023 and June 2024 for Australia, between December 2023 and September 2024 for Canada and the United Kingdom, and between December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2023 and December 2024 for the other jurisdictions. These results may deviate from the own calculations of national authorities. The investment rate of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return is net of tax and investment expenses for Australia. The investment rate of return is calculated only for pension funds in Austria, pension funds and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pension insurance contracts in Denmark, the second pension pillar in Estonia, mandatory occupational insurance funds and the first pillar pension fund (TEKA)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in Greece, pension funds in Hungary, all pension providers except foreign providers of pension insurance contracts in Iceland, new pension funds in Israel,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contractual pension funds in Italy, occupational retirement pension plans in Korea, personal plans in Mexico, pension funds in Portugal, pension funds and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book reserves in Spain, pension funds in the United States and Mandatory Provident Fund (MPF) schemes in Hong Kong (China). The voluntary pension fund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of the Republika Srpska (Bosnia and Herzegovina) recorded a 4.4% nominal investment rate of return in 2024 (real return not available). Pension providers in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Zimbabwe recorded a 58% nominal investment rate of return (- 79.9% in real terms), not shown for readability purposes. </w:t>
      </w:r>
    </w:p>
    <w:p>
      <w:pPr>
        <w:autoSpaceDN w:val="0"/>
        <w:autoSpaceDE w:val="0"/>
        <w:widowControl/>
        <w:spacing w:line="245" w:lineRule="auto" w:before="228" w:after="0"/>
        <w:ind w:left="970" w:right="720" w:firstLine="0"/>
        <w:jc w:val="left"/>
      </w:pPr>
      <w:r>
        <w:rPr>
          <w:rFonts w:ascii="Calibri" w:hAnsi="Calibri" w:eastAsia="Calibri"/>
          <w:b/>
          <w:i/>
          <w:color w:val="FFFFFF"/>
          <w:sz w:val="16"/>
        </w:rPr>
        <w:t>Figure 2: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 The GPS database gathers information on investments in Collective Investment Schemes (CIS) and the look-through of these investments in equities,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bills and bonds, cash and deposits and other. Data on asset allocation in the figure include both direct investment in equities, bills and bonds, cash and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deposits, and indirect investment through CIS when the look-through of CIS investments is available. Otherwise, investments in CIS are shown in a separate </w:t>
      </w:r>
      <w:r>
        <w:rPr>
          <w:rFonts w:ascii="Calibri" w:hAnsi="Calibri" w:eastAsia="Calibri"/>
          <w:b w:val="0"/>
          <w:i w:val="0"/>
          <w:color w:val="FFFFFF"/>
          <w:sz w:val="16"/>
        </w:rPr>
        <w:t>category. Negative values have been excluded from the calculations of the asset allocation. Data for Australia do not cover small APRA funds and Single-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Member Funds. Data for Denmark refer to pension funds and pension insurance contracts. Data for Estonia refer only to the second pension pillar. Data for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France refer to pension funds (FRPS) and the public service additional pension scheme (ERAFP). Data for Hungary, Italy, Poland and Spain refer to pension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funds. Data for Germany only refer to autonomous pension funds(IORPs) and comprise all German occupational pension fund entities under BaFin’s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supervision (“Pensionskassen” and “Pensionsfonds”). Data for Germany are estimates; the breakdown of investments through CIS has not been approved by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external auditors yet and is not available for Pensionsfonds. Data for Iceland refer to all pension providers except foreign providers of pension insurance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contracts in Iceland. Data for Ireland refer to DB plans only. The high value for the "Other" category in Japan is driven by outward investments in securities to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a large extent. Data for Mexico refer to personal plans only. Data for Hong Kong (China) cover MPF schemes and MPF-exempted ORSO registered schemes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only. </w:t>
      </w:r>
    </w:p>
    <w:p>
      <w:pPr>
        <w:autoSpaceDN w:val="0"/>
        <w:autoSpaceDE w:val="0"/>
        <w:widowControl/>
        <w:spacing w:line="245" w:lineRule="auto" w:before="228" w:after="0"/>
        <w:ind w:left="970" w:right="720" w:firstLine="0"/>
        <w:jc w:val="left"/>
      </w:pP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This work is published under the responsibility of the Secretary-General of the OECD. The opinions expressed and arguments employed herein do not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necessarily reflect the official views of the Member countries of the OECD. </w:t>
      </w:r>
    </w:p>
    <w:p>
      <w:pPr>
        <w:autoSpaceDN w:val="0"/>
        <w:autoSpaceDE w:val="0"/>
        <w:widowControl/>
        <w:spacing w:line="245" w:lineRule="auto" w:before="34" w:after="0"/>
        <w:ind w:left="970" w:right="720" w:firstLine="0"/>
        <w:jc w:val="left"/>
      </w:pP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This document, as well as any data and map included herein, are without prejudice to the status of or sovereignty over any territory, to the delimitation of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international frontiers and boundaries and to the name of any territory, city or area. </w:t>
      </w:r>
    </w:p>
    <w:p>
      <w:pPr>
        <w:autoSpaceDN w:val="0"/>
        <w:autoSpaceDE w:val="0"/>
        <w:widowControl/>
        <w:spacing w:line="245" w:lineRule="auto" w:before="32" w:after="0"/>
        <w:ind w:left="970" w:right="720" w:firstLine="0"/>
        <w:jc w:val="left"/>
      </w:pP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The statistical data for Israel are supplied by and under the responsibility of the relevant Israeli authorities. The use of such data by the OECD is without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prejudice to the status of the Golan Heights, East Jerusalem and Israeli settlements in the West Bank under the terms of international law. </w:t>
      </w:r>
    </w:p>
    <w:p>
      <w:pPr>
        <w:autoSpaceDN w:val="0"/>
        <w:autoSpaceDE w:val="0"/>
        <w:widowControl/>
        <w:spacing w:line="245" w:lineRule="auto" w:before="230" w:after="0"/>
        <w:ind w:left="970" w:right="720" w:firstLine="0"/>
        <w:jc w:val="left"/>
      </w:pP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* All references to Kosovo are without prejudice to positions on status, and are in line with the United Nations’ Security Council Resolution 1244/99 and the </w:t>
      </w:r>
      <w:r>
        <w:rPr>
          <w:rFonts w:ascii="Calibri" w:hAnsi="Calibri" w:eastAsia="Calibri"/>
          <w:b w:val="0"/>
          <w:i w:val="0"/>
          <w:color w:val="FFFFFF"/>
          <w:sz w:val="16"/>
        </w:rPr>
        <w:t xml:space="preserve">Advisory Opinion of the International Court of Justice on Kosovo’s declaration of independence. </w:t>
      </w:r>
    </w:p>
    <w:p>
      <w:pPr>
        <w:autoSpaceDN w:val="0"/>
        <w:autoSpaceDE w:val="0"/>
        <w:widowControl/>
        <w:spacing w:line="222" w:lineRule="exact" w:before="544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4F81BD"/>
          <w:sz w:val="20"/>
        </w:rPr>
        <w:t>6</w:t>
      </w:r>
    </w:p>
    <w:sectPr w:rsidR="00FC693F" w:rsidRPr="0006063C" w:rsidSect="00034616">
      <w:pgSz w:w="11906" w:h="16841"/>
      <w:pgMar w:top="374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s://www.oecd.org/en/publications/pension-markets-in-focus-2024_b11473d3-en/support-materials.html" TargetMode="External"/><Relationship Id="rId12" Type="http://schemas.openxmlformats.org/officeDocument/2006/relationships/hyperlink" Target="mailto:sally.day-hanotiaux@oecd.org" TargetMode="External"/><Relationship Id="rId13" Type="http://schemas.openxmlformats.org/officeDocument/2006/relationships/hyperlink" Target="mailto:romain.despalins@oecd.org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hyperlink" Target="https://www.oecd.org/content/dam/oecd/en/publications/reports/2024/11/pension-markets-in-focus-2024_54fb4783/b11473d3-en.pdf" TargetMode="External"/><Relationship Id="rId17" Type="http://schemas.openxmlformats.org/officeDocument/2006/relationships/image" Target="media/image5.png"/><Relationship Id="rId18" Type="http://schemas.openxmlformats.org/officeDocument/2006/relationships/hyperlink" Target="https://www.msci.com/documents/10199/178e6643-6ae6-47b9-82be-e1fc565ededb" TargetMode="External"/><Relationship Id="rId19" Type="http://schemas.openxmlformats.org/officeDocument/2006/relationships/hyperlink" Target="https://www.sfc.hk/-/media/EN/files/SOM/RS-Paper/RS-paper-76.pdf?rev=91bde7a550034a7896f48c2ca38ce10a&amp;hash=744C45C06235E518BBDDFBAE370F3AFD" TargetMode="External"/><Relationship Id="rId20" Type="http://schemas.openxmlformats.org/officeDocument/2006/relationships/hyperlink" Target="https://www.trackinsight.com/en/etf-news/global-equity-markets-review-europe-us-asia-2024" TargetMode="External"/><Relationship Id="rId21" Type="http://schemas.openxmlformats.org/officeDocument/2006/relationships/hyperlink" Target="https://www.gpw.pl/news?cmn_id=116408&amp;title=Investor+Activity+on+GPW+in+December+2024" TargetMode="External"/><Relationship Id="rId22" Type="http://schemas.openxmlformats.org/officeDocument/2006/relationships/hyperlink" Target="https://www.oecd.org/en/publications/global-debt-report-2025_8ee42b13-en/full-report.html" TargetMode="External"/><Relationship Id="rId23" Type="http://schemas.openxmlformats.org/officeDocument/2006/relationships/hyperlink" Target="https://a.storyblok.com/f/257759/x/72a8b32b42/ap3_annual_report_2024.pdf" TargetMode="External"/><Relationship Id="rId24" Type="http://schemas.openxmlformats.org/officeDocument/2006/relationships/hyperlink" Target="https://www.oecd.org/en/publications/2025/03/oecd-economic-outlook-interim-report-march-2025_47a36021.html" TargetMode="External"/><Relationship Id="rId25" Type="http://schemas.openxmlformats.org/officeDocument/2006/relationships/image" Target="media/image6.png"/><Relationship Id="rId26" Type="http://schemas.openxmlformats.org/officeDocument/2006/relationships/hyperlink" Target="https://www.oecd.org/en/publications/private-pensions_9789264017009-en-f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