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594" w:after="0"/>
        <w:ind w:left="0" w:right="5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365250" cy="3225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32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30" w:lineRule="exact" w:before="668" w:after="194"/>
        <w:ind w:left="1152" w:right="1728" w:firstLine="0"/>
        <w:jc w:val="center"/>
      </w:pPr>
      <w:r>
        <w:rPr>
          <w:rFonts w:ascii="Ballinger" w:hAnsi="Ballinger" w:eastAsia="Ballinger"/>
          <w:b/>
          <w:i w:val="0"/>
        </w:rPr>
        <w:t xml:space="preserve">PENSION MARKETS IN FOCUS </w:t>
      </w:r>
    </w:p>
    <w:p>
      <w:pPr>
        <w:sectPr>
          <w:pgSz w:w="11906" w:h="16838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tabs>
          <w:tab w:pos="9590" w:val="left"/>
        </w:tabs>
        <w:autoSpaceDE w:val="0"/>
        <w:widowControl/>
        <w:spacing w:line="197" w:lineRule="auto" w:before="0" w:after="0"/>
        <w:ind w:left="144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PENSION MARKETS IN FOCUS – PRELIMINARY 2024 DATA </w:t>
      </w:r>
    </w:p>
    <w:p>
      <w:pPr>
        <w:sectPr>
          <w:pgSz w:w="11906" w:h="16841"/>
          <w:pgMar w:top="372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tabs>
          <w:tab w:pos="9588" w:val="left"/>
        </w:tabs>
        <w:autoSpaceDE w:val="0"/>
        <w:widowControl/>
        <w:spacing w:line="197" w:lineRule="auto" w:before="0" w:after="0"/>
        <w:ind w:left="1438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PENSION MARKETS IN FOCUS – PRELIMINARY 2024 DATA </w:t>
      </w:r>
    </w:p>
    <w:p>
      <w:pPr>
        <w:sectPr>
          <w:pgSz w:w="11906" w:h="16841"/>
          <w:pgMar w:top="374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tabs>
          <w:tab w:pos="9588" w:val="left"/>
        </w:tabs>
        <w:autoSpaceDE w:val="0"/>
        <w:widowControl/>
        <w:spacing w:line="197" w:lineRule="auto" w:before="0" w:after="0"/>
        <w:ind w:left="1438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PENSION MARKETS IN FOCUS – PRELIMINARY 2024 DATA </w:t>
      </w:r>
    </w:p>
    <w:p>
      <w:pPr>
        <w:sectPr>
          <w:pgSz w:w="11906" w:h="16841"/>
          <w:pgMar w:top="374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240"/>
        </w:trPr>
        <w:tc>
          <w:tcPr>
            <w:tcW w:type="dxa" w:w="6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7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</w:rPr>
              <w:t xml:space="preserve">PENSION MARKETS IN FOCUS – PRELIMINARY 2024 DATA </w:t>
            </w:r>
          </w:p>
        </w:tc>
        <w:tc>
          <w:tcPr>
            <w:tcW w:type="dxa" w:w="4513"/>
          </w:tcPr>
          <w:p/>
        </w:tc>
      </w:tr>
    </w:tbl>
    <w:p>
      <w:pPr>
        <w:sectPr>
          <w:pgSz w:w="11906" w:h="16841"/>
          <w:pgMar w:top="374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p>
      <w:pPr>
        <w:autoSpaceDN w:val="0"/>
        <w:tabs>
          <w:tab w:pos="9588" w:val="left"/>
        </w:tabs>
        <w:autoSpaceDE w:val="0"/>
        <w:widowControl/>
        <w:spacing w:line="197" w:lineRule="auto" w:before="0" w:after="0"/>
        <w:ind w:left="1438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PENSION MARKETS IN FOCUS – PRELIMINARY 2024 DATA </w:t>
      </w:r>
    </w:p>
    <w:sectPr w:rsidR="00FC693F" w:rsidRPr="0006063C" w:rsidSect="00034616">
      <w:pgSz w:w="11906" w:h="16841"/>
      <w:pgMar w:top="374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