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58026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5802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14" w:val="left"/>
        </w:tabs>
        <w:autoSpaceDE w:val="0"/>
        <w:widowControl/>
        <w:spacing w:line="283" w:lineRule="auto" w:before="0" w:after="1026"/>
        <w:ind w:left="158" w:right="1296" w:firstLine="0"/>
        <w:jc w:val="left"/>
      </w:pPr>
      <w:r>
        <w:rPr>
          <w:rFonts w:ascii="Effra" w:hAnsi="Effra" w:eastAsia="Effra"/>
          <w:b/>
          <w:i w:val="0"/>
          <w:color w:val="FFFFFF"/>
          <w:sz w:val="88"/>
        </w:rPr>
        <w:t xml:space="preserve">ONR Briefing Note </w:t>
      </w:r>
      <w:r>
        <w:rPr>
          <w:rFonts w:ascii="Effra" w:hAnsi="Effra" w:eastAsia="Effra"/>
          <w:b w:val="0"/>
          <w:i w:val="0"/>
          <w:color w:val="FFFFFF"/>
          <w:sz w:val="28"/>
        </w:rPr>
        <w:t>OECD Natural Resources Policy Dialogue: 11th Plenary Meeting</w:t>
      </w:r>
    </w:p>
    <w:p>
      <w:pPr>
        <w:sectPr>
          <w:pgSz w:w="11906" w:h="16838"/>
          <w:pgMar w:top="916" w:right="1270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214" w:right="288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 Commonwealth Secretariat, through its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Ocean and Natural Resources Advisory Section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provides technical support to its member states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 the sustainable development and effective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management of natural resources and broader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energy sector reform. In providing this assistance,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Secretariat actively collaborates with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international organisations, specialist think-tanks,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regional agencies operating in the extractives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broader energy sector space. </w:t>
      </w:r>
    </w:p>
    <w:p>
      <w:pPr>
        <w:autoSpaceDN w:val="0"/>
        <w:autoSpaceDE w:val="0"/>
        <w:widowControl/>
        <w:spacing w:line="245" w:lineRule="auto" w:before="158" w:after="0"/>
        <w:ind w:left="214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OECD Policy Dialogue on Natural Resource-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based Development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 (PD-NR) is one such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collaborative effort. The PD-NR provides a platform </w:t>
      </w:r>
    </w:p>
    <w:p>
      <w:pPr>
        <w:autoSpaceDN w:val="0"/>
        <w:autoSpaceDE w:val="0"/>
        <w:widowControl/>
        <w:spacing w:line="247" w:lineRule="auto" w:before="530" w:after="0"/>
        <w:ind w:left="434" w:right="432" w:firstLine="0"/>
        <w:jc w:val="left"/>
      </w:pPr>
      <w:r>
        <w:rPr>
          <w:shd w:val="clear" w:color="auto" w:fill="e0e8f5"/>
          <w:rFonts w:ascii="Effra" w:hAnsi="Effra" w:eastAsia="Effra"/>
          <w:b w:val="0"/>
          <w:i/>
          <w:color w:val="000000"/>
          <w:sz w:val="20"/>
        </w:rPr>
        <w:t xml:space="preserve">The Framework on Collaborative Strategies </w:t>
      </w:r>
      <w:r>
        <w:rPr>
          <w:shd w:val="clear" w:color="auto" w:fill="e0e8f5"/>
          <w:rFonts w:ascii="Effra" w:hAnsi="Effra" w:eastAsia="Effra"/>
          <w:b w:val="0"/>
          <w:i/>
          <w:color w:val="000000"/>
          <w:sz w:val="20"/>
        </w:rPr>
        <w:t>for In-Country Shared Value Creation</w:t>
      </w:r>
      <w:r>
        <w:rPr>
          <w:shd w:val="clear" w:color="auto" w:fill="e0e8f5"/>
          <w:rFonts w:ascii="Effra" w:hAnsi="Effra" w:eastAsia="Effra"/>
          <w:b w:val="0"/>
          <w:i w:val="0"/>
          <w:color w:val="000000"/>
          <w:sz w:val="20"/>
        </w:rPr>
        <w:t xml:space="preserve"> presents </w:t>
      </w:r>
      <w:r>
        <w:rPr>
          <w:shd w:val="clear" w:color="auto" w:fill="e0e8f5"/>
          <w:rFonts w:ascii="Effra" w:hAnsi="Effra" w:eastAsia="Effra"/>
          <w:b w:val="0"/>
          <w:i w:val="0"/>
          <w:color w:val="000000"/>
          <w:sz w:val="20"/>
        </w:rPr>
        <w:t xml:space="preserve">a guide on how host governments, extractive </w:t>
      </w:r>
      <w:r>
        <w:rPr>
          <w:shd w:val="clear" w:color="auto" w:fill="e0e8f5"/>
          <w:rFonts w:ascii="Effra" w:hAnsi="Effra" w:eastAsia="Effra"/>
          <w:b w:val="0"/>
          <w:i w:val="0"/>
          <w:color w:val="000000"/>
          <w:sz w:val="20"/>
        </w:rPr>
        <w:t xml:space="preserve">industries and civil society can work together </w:t>
      </w:r>
      <w:r>
        <w:rPr>
          <w:shd w:val="clear" w:color="auto" w:fill="e0e8f5"/>
          <w:rFonts w:ascii="Effra" w:hAnsi="Effra" w:eastAsia="Effra"/>
          <w:b w:val="0"/>
          <w:i w:val="0"/>
          <w:color w:val="000000"/>
          <w:sz w:val="20"/>
        </w:rPr>
        <w:t xml:space="preserve">in a structured and systematic way to enable </w:t>
      </w:r>
      <w:r>
        <w:rPr>
          <w:shd w:val="clear" w:color="auto" w:fill="e0e8f5"/>
          <w:rFonts w:ascii="Effra" w:hAnsi="Effra" w:eastAsia="Effra"/>
          <w:b w:val="0"/>
          <w:i w:val="0"/>
          <w:color w:val="000000"/>
          <w:sz w:val="20"/>
        </w:rPr>
        <w:t xml:space="preserve">in-country shared value creation. </w:t>
      </w:r>
    </w:p>
    <w:p>
      <w:pPr>
        <w:autoSpaceDN w:val="0"/>
        <w:autoSpaceDE w:val="0"/>
        <w:widowControl/>
        <w:spacing w:line="247" w:lineRule="auto" w:before="144" w:after="0"/>
        <w:ind w:left="434" w:right="576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STEP 1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Adopt a comprehensive, long-term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vision and implementation strategy to build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competitive and diversified economies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create in-country shared value from </w:t>
      </w:r>
      <w:r>
        <w:rPr>
          <w:rFonts w:ascii="Effra" w:hAnsi="Effra" w:eastAsia="Effra"/>
          <w:b w:val="0"/>
          <w:i w:val="0"/>
          <w:color w:val="000000"/>
          <w:sz w:val="20"/>
        </w:rPr>
        <w:t>natural resources.</w:t>
      </w:r>
    </w:p>
    <w:p>
      <w:pPr>
        <w:autoSpaceDN w:val="0"/>
        <w:autoSpaceDE w:val="0"/>
        <w:widowControl/>
        <w:spacing w:line="245" w:lineRule="auto" w:before="142" w:after="0"/>
        <w:ind w:left="434" w:right="72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STEP 2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Build an empirical basis to inform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decision making through an inclusive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>participatory process.</w:t>
      </w:r>
    </w:p>
    <w:p>
      <w:pPr>
        <w:autoSpaceDN w:val="0"/>
        <w:autoSpaceDE w:val="0"/>
        <w:widowControl/>
        <w:spacing w:line="245" w:lineRule="auto" w:before="144" w:after="0"/>
        <w:ind w:left="434" w:right="576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STEP 3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Unlock opportunities for in-country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shared value creation: local workforce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supplier development and shared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>infrastructure (power, water and transport).</w:t>
      </w:r>
    </w:p>
    <w:p>
      <w:pPr>
        <w:autoSpaceDN w:val="0"/>
        <w:autoSpaceDE w:val="0"/>
        <w:widowControl/>
        <w:spacing w:line="245" w:lineRule="auto" w:before="144" w:after="0"/>
        <w:ind w:left="434" w:right="432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STEP 4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Support and contribute to innovation </w:t>
      </w:r>
      <w:r>
        <w:rPr>
          <w:rFonts w:ascii="Effra" w:hAnsi="Effra" w:eastAsia="Effra"/>
          <w:b w:val="0"/>
          <w:i w:val="0"/>
          <w:color w:val="000000"/>
          <w:sz w:val="20"/>
        </w:rPr>
        <w:t>leading to new products and services.</w:t>
      </w:r>
    </w:p>
    <w:p>
      <w:pPr>
        <w:autoSpaceDN w:val="0"/>
        <w:autoSpaceDE w:val="0"/>
        <w:widowControl/>
        <w:spacing w:line="245" w:lineRule="auto" w:before="142" w:after="0"/>
        <w:ind w:left="434" w:right="576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STEP 5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Establish effective and transparent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monitoring and evaluation systems and </w:t>
      </w:r>
      <w:r>
        <w:rPr>
          <w:rFonts w:ascii="Effra" w:hAnsi="Effra" w:eastAsia="Effra"/>
          <w:b w:val="0"/>
          <w:i w:val="0"/>
          <w:color w:val="000000"/>
          <w:sz w:val="20"/>
        </w:rPr>
        <w:t>regularly review the collaborative strategy.</w:t>
      </w:r>
    </w:p>
    <w:p>
      <w:pPr>
        <w:sectPr>
          <w:type w:val="continuous"/>
          <w:pgSz w:w="11906" w:h="16838"/>
          <w:pgMar w:top="916" w:right="1270" w:bottom="748" w:left="1440" w:header="720" w:footer="720" w:gutter="0"/>
          <w:cols w:num="2" w:equalWidth="0">
            <w:col w:w="4680" w:space="0"/>
            <w:col w:w="4515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70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for producer countries, private sector, development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agencies, think-tanks and civil society to share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knowledge and craft innovative collaborative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solutions in order to address the complex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multidimensional challenges of the extractives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industry’s contribution to 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Sustainable </w:t>
          </w:r>
        </w:hyperlink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Development Goals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7" w:lineRule="auto" w:before="162" w:after="0"/>
        <w:ind w:left="170" w:right="288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 PD-NR is framed around four work streams: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(1) shared value creation and local development,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(2) revenue management and spending, (3)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getting better deals and (4) Domestic Resource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Mobilisation (tackling BEPS, corruption and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>commodity trading transparency).</w:t>
      </w:r>
    </w:p>
    <w:p>
      <w:pPr>
        <w:autoSpaceDN w:val="0"/>
        <w:autoSpaceDE w:val="0"/>
        <w:widowControl/>
        <w:spacing w:line="245" w:lineRule="auto" w:before="164" w:after="0"/>
        <w:ind w:left="170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 This Briefing Note provides a summary of the key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issues discussed across the four work streams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during the 11th Plenary Session held in Paris 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12 – 14 December 2018. </w:t>
      </w:r>
    </w:p>
    <w:p>
      <w:pPr>
        <w:autoSpaceDN w:val="0"/>
        <w:autoSpaceDE w:val="0"/>
        <w:widowControl/>
        <w:spacing w:line="245" w:lineRule="auto" w:before="162" w:after="0"/>
        <w:ind w:left="170" w:right="0" w:firstLine="0"/>
        <w:jc w:val="left"/>
      </w:pPr>
      <w:r>
        <w:rPr>
          <w:rFonts w:ascii="Effra" w:hAnsi="Effra" w:eastAsia="Effra"/>
          <w:b w:val="0"/>
          <w:i/>
          <w:color w:val="000000"/>
          <w:sz w:val="20"/>
        </w:rPr>
        <w:t xml:space="preserve">Please refer to previous Briefing Notes for more </w:t>
      </w:r>
      <w:r>
        <w:br/>
      </w:r>
      <w:r>
        <w:rPr>
          <w:rFonts w:ascii="Effra" w:hAnsi="Effra" w:eastAsia="Effra"/>
          <w:b w:val="0"/>
          <w:i/>
          <w:color w:val="000000"/>
          <w:sz w:val="20"/>
        </w:rPr>
        <w:t xml:space="preserve">information on 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9th Plenary</w:t>
          </w:r>
        </w:hyperlink>
      </w:r>
      <w:r>
        <w:rPr>
          <w:rFonts w:ascii="Effra" w:hAnsi="Effra" w:eastAsia="Effra"/>
          <w:b w:val="0"/>
          <w:i/>
          <w:color w:val="000000"/>
          <w:sz w:val="20"/>
        </w:rPr>
        <w:t xml:space="preserve"> and 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10th Plenary</w:t>
          </w:r>
        </w:hyperlink>
      </w:r>
      <w:r>
        <w:rPr>
          <w:rFonts w:ascii="Effra" w:hAnsi="Effra" w:eastAsia="Effra"/>
          <w:b w:val="0"/>
          <w:i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5" w:lineRule="auto" w:before="258" w:after="0"/>
        <w:ind w:left="170" w:right="144" w:firstLine="0"/>
        <w:jc w:val="left"/>
      </w:pPr>
      <w:r>
        <w:rPr>
          <w:rFonts w:ascii="Effra" w:hAnsi="Effra" w:eastAsia="Effra"/>
          <w:b w:val="0"/>
          <w:i w:val="0"/>
          <w:color w:val="0076BB"/>
          <w:sz w:val="28"/>
        </w:rPr>
        <w:t xml:space="preserve">Work Stream 1: In-Country Shared </w:t>
      </w:r>
      <w:r>
        <w:rPr>
          <w:rFonts w:ascii="Effra" w:hAnsi="Effra" w:eastAsia="Effra"/>
          <w:b w:val="0"/>
          <w:i w:val="0"/>
          <w:color w:val="0076BB"/>
          <w:sz w:val="28"/>
        </w:rPr>
        <w:t>Value Creation</w:t>
      </w:r>
    </w:p>
    <w:p>
      <w:pPr>
        <w:autoSpaceDN w:val="0"/>
        <w:autoSpaceDE w:val="0"/>
        <w:widowControl/>
        <w:spacing w:line="250" w:lineRule="auto" w:before="130" w:after="0"/>
        <w:ind w:left="170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Discussions focused on Framework Step 4: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exploring how to retain more in-country value and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use extractive value chains to develop new products </w:t>
      </w:r>
      <w:r>
        <w:rPr>
          <w:rFonts w:ascii="Effra" w:hAnsi="Effra" w:eastAsia="Effra"/>
          <w:b w:val="0"/>
          <w:i w:val="0"/>
          <w:color w:val="000000"/>
          <w:sz w:val="20"/>
        </w:rPr>
        <w:t>or services. The session explored how resource-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rich countries can access and upgrade extractive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value chains as well as the net benefits that accrue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domestically, using data from the OECD/WTO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Trade in Value Added (TiVA) database. The session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also discussed factors influencing the ability of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developing countries to participate in extractive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value chains, enabling them to move from low to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high-value activities and develop new sectors. </w:t>
      </w:r>
    </w:p>
    <w:p>
      <w:pPr>
        <w:autoSpaceDN w:val="0"/>
        <w:autoSpaceDE w:val="0"/>
        <w:widowControl/>
        <w:spacing w:line="247" w:lineRule="auto" w:before="160" w:after="0"/>
        <w:ind w:left="170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This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presentation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 from the OECD Trade and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Agriculture Directorate identified services as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constituting a significant portion of value-added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activities in most sectors including the extractives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noted that as most of these services are </w:t>
      </w:r>
    </w:p>
    <w:p>
      <w:pPr>
        <w:sectPr>
          <w:type w:val="nextColumn"/>
          <w:pgSz w:w="11906" w:h="16838"/>
          <w:pgMar w:top="916" w:right="1270" w:bottom="748" w:left="1440" w:header="720" w:footer="720" w:gutter="0"/>
          <w:cols w:num="2" w:equalWidth="0">
            <w:col w:w="4680" w:space="0"/>
            <w:col w:w="451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1134"/>
        <w:ind w:left="0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16"/>
        </w:rPr>
        <w:t xml:space="preserve">2 </w:t>
      </w:r>
      <w:r>
        <w:rPr>
          <w:rFonts w:ascii="Effra" w:hAnsi="Effra" w:eastAsia="Effra"/>
          <w:b w:val="0"/>
          <w:i w:val="0"/>
          <w:color w:val="0076BB"/>
          <w:sz w:val="16"/>
        </w:rPr>
        <w:t>\</w:t>
      </w:r>
      <w:r>
        <w:rPr>
          <w:rFonts w:ascii="Effra" w:hAnsi="Effra" w:eastAsia="Effra"/>
          <w:b w:val="0"/>
          <w:i w:val="0"/>
          <w:color w:val="000000"/>
          <w:sz w:val="16"/>
        </w:rPr>
        <w:t>Briefing Note</w:t>
      </w:r>
    </w:p>
    <w:p>
      <w:pPr>
        <w:sectPr>
          <w:pgSz w:w="11906" w:h="16838"/>
          <w:pgMar w:top="322" w:right="1440" w:bottom="942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8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provided domestically, demand for services in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minerals-rich countries may represent a strong link </w:t>
      </w:r>
      <w:r>
        <w:rPr>
          <w:rFonts w:ascii="Effra" w:hAnsi="Effra" w:eastAsia="Effra"/>
          <w:b w:val="0"/>
          <w:i w:val="0"/>
          <w:color w:val="000000"/>
          <w:sz w:val="20"/>
        </w:rPr>
        <w:t>with the wider economy.</w:t>
      </w:r>
    </w:p>
    <w:p>
      <w:pPr>
        <w:autoSpaceDN w:val="0"/>
        <w:autoSpaceDE w:val="0"/>
        <w:widowControl/>
        <w:spacing w:line="245" w:lineRule="auto" w:before="162" w:after="0"/>
        <w:ind w:left="586" w:right="432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Two new examples were proposed for addition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 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on-line compendium of practices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which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operationalises the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“Collaborative Strategies for </w:t>
      </w:r>
      <w:r>
        <w:rPr>
          <w:rFonts w:ascii="Effra" w:hAnsi="Effra" w:eastAsia="Effra"/>
          <w:b w:val="0"/>
          <w:i/>
          <w:color w:val="000000"/>
          <w:sz w:val="20"/>
        </w:rPr>
        <w:t>In-Country Shared Value Creation”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: </w:t>
      </w:r>
    </w:p>
    <w:p>
      <w:pPr>
        <w:sectPr>
          <w:type w:val="continuous"/>
          <w:pgSz w:w="11906" w:h="16838"/>
          <w:pgMar w:top="322" w:right="1440" w:bottom="942" w:left="732" w:header="720" w:footer="720" w:gutter="0"/>
          <w:cols w:num="2" w:equalWidth="0">
            <w:col w:w="5018" w:space="0"/>
            <w:col w:w="471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2" w:right="1584" w:firstLine="0"/>
        <w:jc w:val="left"/>
      </w:pPr>
      <w:r>
        <w:rPr>
          <w:rFonts w:ascii="Effra" w:hAnsi="Effra" w:eastAsia="Effra"/>
          <w:b w:val="0"/>
          <w:i w:val="0"/>
          <w:color w:val="0076BB"/>
          <w:sz w:val="28"/>
        </w:rPr>
        <w:t xml:space="preserve">Work Stream 3: Getting </w:t>
      </w:r>
      <w:r>
        <w:rPr>
          <w:rFonts w:ascii="Effra" w:hAnsi="Effra" w:eastAsia="Effra"/>
          <w:b w:val="0"/>
          <w:i w:val="0"/>
          <w:color w:val="0076BB"/>
          <w:sz w:val="28"/>
        </w:rPr>
        <w:t>Better Deals</w:t>
      </w:r>
    </w:p>
    <w:p>
      <w:pPr>
        <w:autoSpaceDN w:val="0"/>
        <w:autoSpaceDE w:val="0"/>
        <w:widowControl/>
        <w:spacing w:line="245" w:lineRule="auto" w:before="154" w:after="26"/>
        <w:ind w:left="202" w:right="288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Developed under the auspices of Work Stream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3, the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“Guiding Principles for Durable Extractive </w:t>
      </w:r>
      <w:r>
        <w:rPr>
          <w:rFonts w:ascii="Effra" w:hAnsi="Effra" w:eastAsia="Effra"/>
          <w:b w:val="0"/>
          <w:i/>
          <w:color w:val="000000"/>
          <w:sz w:val="20"/>
        </w:rPr>
        <w:t>Contracts”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 sets out principles that host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governments and investors can use as a common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reference to build mutual trust during contract </w:t>
      </w:r>
    </w:p>
    <w:p>
      <w:pPr>
        <w:sectPr>
          <w:type w:val="nextColumn"/>
          <w:pgSz w:w="11906" w:h="16838"/>
          <w:pgMar w:top="322" w:right="1440" w:bottom="942" w:left="732" w:header="720" w:footer="720" w:gutter="0"/>
          <w:cols w:num="2" w:equalWidth="0">
            <w:col w:w="5018" w:space="0"/>
            <w:col w:w="471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3245"/>
        <w:gridCol w:w="3245"/>
        <w:gridCol w:w="3245"/>
      </w:tblGrid>
      <w:tr>
        <w:trPr>
          <w:trHeight w:hRule="exact" w:val="22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60" w:firstLine="0"/>
              <w:jc w:val="righ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Kazakhstani example on how to upgrade 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41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negotiations, and structure extractive contracts for </w:t>
            </w:r>
          </w:p>
        </w:tc>
      </w:tr>
      <w:tr>
        <w:trPr>
          <w:trHeight w:hRule="exact" w:val="28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0" w:after="0"/>
              <w:ind w:left="0" w:right="160" w:firstLine="0"/>
              <w:jc w:val="righ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2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technological services for the upstream 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2" w:after="0"/>
              <w:ind w:left="41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the long term. </w:t>
            </w:r>
          </w:p>
        </w:tc>
      </w:tr>
      <w:tr>
        <w:trPr>
          <w:trHeight w:hRule="exact" w:val="64"/>
        </w:trPr>
        <w:tc>
          <w:tcPr>
            <w:tcW w:type="dxa" w:w="3245"/>
            <w:vMerge/>
            <w:tcBorders/>
          </w:tcPr>
          <w:p/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value chain;</w:t>
            </w:r>
          </w:p>
        </w:tc>
        <w:tc>
          <w:tcPr>
            <w:tcW w:type="dxa" w:w="32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245"/>
            <w:vMerge/>
            <w:tcBorders/>
          </w:tcPr>
          <w:p/>
        </w:tc>
        <w:tc>
          <w:tcPr>
            <w:tcW w:type="dxa" w:w="3245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0" w:after="0"/>
              <w:ind w:left="41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To progress the delivery of this product, a </w:t>
            </w:r>
          </w:p>
        </w:tc>
      </w:tr>
      <w:tr>
        <w:trPr>
          <w:trHeight w:hRule="exact" w:val="64"/>
        </w:trPr>
        <w:tc>
          <w:tcPr>
            <w:tcW w:type="dxa" w:w="3245"/>
            <w:vMerge/>
            <w:tcBorders/>
          </w:tcPr>
          <w:p/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2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Brazilian example on producing iron ore </w:t>
            </w:r>
          </w:p>
        </w:tc>
        <w:tc>
          <w:tcPr>
            <w:tcW w:type="dxa" w:w="32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245"/>
            <w:vMerge/>
            <w:tcBorders/>
          </w:tcPr>
          <w:p/>
        </w:tc>
        <w:tc>
          <w:tcPr>
            <w:tcW w:type="dxa" w:w="3245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dedicated workshop was organised for an expert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type w:val="continuous"/>
          <w:pgSz w:w="11906" w:h="16838"/>
          <w:pgMar w:top="322" w:right="1440" w:bottom="942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auto" w:before="0" w:after="0"/>
        <w:ind w:left="1038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without using water. </w:t>
      </w:r>
    </w:p>
    <w:p>
      <w:pPr>
        <w:autoSpaceDN w:val="0"/>
        <w:autoSpaceDE w:val="0"/>
        <w:widowControl/>
        <w:spacing w:line="245" w:lineRule="auto" w:before="164" w:after="0"/>
        <w:ind w:left="58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There was also an engaging presentation from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CORFO (Chile’s Development Corporation) setting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out Chile’s aspirations for diversifying the economy,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deepening value added activities within the mining </w:t>
      </w:r>
      <w:r>
        <w:rPr>
          <w:rFonts w:ascii="Effra" w:hAnsi="Effra" w:eastAsia="Effra"/>
          <w:b w:val="0"/>
          <w:i w:val="0"/>
          <w:color w:val="000000"/>
          <w:sz w:val="20"/>
        </w:rPr>
        <w:t>sector and lowering export vulnerability.</w:t>
      </w:r>
    </w:p>
    <w:p>
      <w:pPr>
        <w:autoSpaceDN w:val="0"/>
        <w:autoSpaceDE w:val="0"/>
        <w:widowControl/>
        <w:spacing w:line="245" w:lineRule="auto" w:before="162" w:after="0"/>
        <w:ind w:left="58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 If a Commonwealth member country wishes to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submit a case study for consideration and inclusion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 the Compendium please contact: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 xml:space="preserve">n.ogeer@ 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commonwealth.int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 or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a.fisho@commonwealth.int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258" w:after="0"/>
        <w:ind w:left="586" w:right="1152" w:firstLine="0"/>
        <w:jc w:val="left"/>
      </w:pPr>
      <w:r>
        <w:rPr>
          <w:rFonts w:ascii="Effra" w:hAnsi="Effra" w:eastAsia="Effra"/>
          <w:b w:val="0"/>
          <w:i w:val="0"/>
          <w:color w:val="0076BB"/>
          <w:sz w:val="28"/>
        </w:rPr>
        <w:t xml:space="preserve">Work Stream 2: Revenue </w:t>
      </w:r>
      <w:r>
        <w:rPr>
          <w:rFonts w:ascii="Effra" w:hAnsi="Effra" w:eastAsia="Effra"/>
          <w:b w:val="0"/>
          <w:i w:val="0"/>
          <w:color w:val="0076BB"/>
          <w:sz w:val="28"/>
        </w:rPr>
        <w:t>Management and Spending</w:t>
      </w:r>
    </w:p>
    <w:p>
      <w:pPr>
        <w:autoSpaceDN w:val="0"/>
        <w:autoSpaceDE w:val="0"/>
        <w:widowControl/>
        <w:spacing w:line="250" w:lineRule="auto" w:before="130" w:after="0"/>
        <w:ind w:left="58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Participants in this session reviewed a consolidated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report prepared by the OECD Development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Centre, on effective revenue management and </w:t>
      </w:r>
      <w:r>
        <w:rPr>
          <w:rFonts w:ascii="Effra" w:hAnsi="Effra" w:eastAsia="Effra"/>
          <w:b w:val="0"/>
          <w:i w:val="0"/>
          <w:color w:val="000000"/>
          <w:sz w:val="20"/>
        </w:rPr>
        <w:t>spending. The report “…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rationalises the analysis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developed for the Policy Dialogue’s Work Stream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2 between 2015-2018, and builds on the lessons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learned from knowledge sharing and peer-learning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exercise in previous Plenary sessions in relation to the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management and mobilisation of natural resource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revenues to support the 2030 Agenda for Sustainable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Development.”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report discusses key principles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of the management of natural resource revenues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mechanisms for the mobilisation of natural </w:t>
      </w:r>
    </w:p>
    <w:p>
      <w:pPr>
        <w:sectPr>
          <w:type w:val="continuous"/>
          <w:pgSz w:w="11906" w:h="16838"/>
          <w:pgMar w:top="322" w:right="1440" w:bottom="942" w:left="732" w:header="720" w:footer="720" w:gutter="0"/>
          <w:cols w:num="2" w:equalWidth="0">
            <w:col w:w="5044" w:space="0"/>
            <w:col w:w="468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4" w:right="576" w:firstLine="0"/>
        <w:jc w:val="center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working group just prior to the 11th Plenary to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review and revise Guiding Principles VII and VIII. </w:t>
      </w:r>
    </w:p>
    <w:p>
      <w:pPr>
        <w:autoSpaceDN w:val="0"/>
        <w:autoSpaceDE w:val="0"/>
        <w:widowControl/>
        <w:spacing w:line="250" w:lineRule="auto" w:before="34" w:after="0"/>
        <w:ind w:left="17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ONR participated in this workshop along with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participants from other international organisations,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private sector and industry and representatives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from two Commonwealth member states. The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expert working group completed the review of the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two Principles VII and VIII which were redrafted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accordingly and presented in plenary with little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comment. The OECD Development Centre will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re-convene the Working Group at the 12th Plenary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with a view to finalising the Guiding Principles which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will thereafter be presented to the OECD Governing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Board for adoption and disseminated for public use.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ONR will continue to update member states on the </w:t>
      </w:r>
      <w:r>
        <w:rPr>
          <w:rFonts w:ascii="Effra" w:hAnsi="Effra" w:eastAsia="Effra"/>
          <w:b w:val="0"/>
          <w:i w:val="0"/>
          <w:color w:val="000000"/>
          <w:sz w:val="20"/>
        </w:rPr>
        <w:t>progress of this document.</w:t>
      </w:r>
    </w:p>
    <w:p>
      <w:pPr>
        <w:autoSpaceDN w:val="0"/>
        <w:autoSpaceDE w:val="0"/>
        <w:widowControl/>
        <w:spacing w:line="245" w:lineRule="auto" w:before="258" w:after="0"/>
        <w:ind w:left="176" w:right="144" w:firstLine="0"/>
        <w:jc w:val="left"/>
      </w:pPr>
      <w:r>
        <w:rPr>
          <w:rFonts w:ascii="Effra" w:hAnsi="Effra" w:eastAsia="Effra"/>
          <w:b w:val="0"/>
          <w:i w:val="0"/>
          <w:color w:val="0076BB"/>
          <w:sz w:val="28"/>
        </w:rPr>
        <w:t xml:space="preserve">Work Stream 4: Domestic Resource </w:t>
      </w:r>
      <w:r>
        <w:rPr>
          <w:rFonts w:ascii="Effra" w:hAnsi="Effra" w:eastAsia="Effra"/>
          <w:b w:val="0"/>
          <w:i w:val="0"/>
          <w:color w:val="0076BB"/>
          <w:sz w:val="28"/>
        </w:rPr>
        <w:t xml:space="preserve">Mobilisation (tackling Base Erosion </w:t>
      </w:r>
      <w:r>
        <w:rPr>
          <w:rFonts w:ascii="Effra" w:hAnsi="Effra" w:eastAsia="Effra"/>
          <w:b w:val="0"/>
          <w:i w:val="0"/>
          <w:color w:val="0076BB"/>
          <w:sz w:val="28"/>
        </w:rPr>
        <w:t xml:space="preserve">and Profit Shifting, corruption and </w:t>
      </w:r>
      <w:r>
        <w:rPr>
          <w:rFonts w:ascii="Effra" w:hAnsi="Effra" w:eastAsia="Effra"/>
          <w:b w:val="0"/>
          <w:i w:val="0"/>
          <w:color w:val="0076BB"/>
          <w:sz w:val="28"/>
        </w:rPr>
        <w:t>commodity trading transparency)</w:t>
      </w:r>
    </w:p>
    <w:p>
      <w:pPr>
        <w:autoSpaceDN w:val="0"/>
        <w:autoSpaceDE w:val="0"/>
        <w:widowControl/>
        <w:spacing w:line="245" w:lineRule="auto" w:before="182" w:after="34"/>
        <w:ind w:left="17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This work stream reflects the global commitment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to counter corruption and address tax base erosion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issues faced by many developing countries in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raising revenue from their natural resource sectors.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Sessions at the 11th Plenary covered the following </w:t>
      </w:r>
    </w:p>
    <w:p>
      <w:pPr>
        <w:sectPr>
          <w:type w:val="nextColumn"/>
          <w:pgSz w:w="11906" w:h="16838"/>
          <w:pgMar w:top="322" w:right="1440" w:bottom="942" w:left="732" w:header="720" w:footer="720" w:gutter="0"/>
          <w:cols w:num="2" w:equalWidth="0">
            <w:col w:w="5044" w:space="0"/>
            <w:col w:w="468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3245"/>
        <w:gridCol w:w="3245"/>
        <w:gridCol w:w="3245"/>
      </w:tblGrid>
      <w:tr>
        <w:trPr>
          <w:trHeight w:hRule="exact" w:val="312"/>
        </w:trPr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98" w:right="144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resource revenues for sustainable development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and concludes with recommended policy responses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to key identified revenue management and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spending challenges. Country specific examples 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15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two areas: </w:t>
            </w:r>
          </w:p>
        </w:tc>
      </w:tr>
      <w:tr>
        <w:trPr>
          <w:trHeight w:hRule="exact" w:val="340"/>
        </w:trPr>
        <w:tc>
          <w:tcPr>
            <w:tcW w:type="dxa" w:w="32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2"/>
              </w:rPr>
              <w:t xml:space="preserve">i. 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8" w:after="0"/>
              <w:ind w:left="13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2"/>
              </w:rPr>
              <w:t xml:space="preserve">Thematic Dialogue on Commodity </w:t>
            </w:r>
          </w:p>
        </w:tc>
      </w:tr>
      <w:tr>
        <w:trPr>
          <w:trHeight w:hRule="exact" w:val="326"/>
        </w:trPr>
        <w:tc>
          <w:tcPr>
            <w:tcW w:type="dxa" w:w="3245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53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2"/>
              </w:rPr>
              <w:t>Trading Transparency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type w:val="continuous"/>
          <w:pgSz w:w="11906" w:h="16838"/>
          <w:pgMar w:top="322" w:right="1440" w:bottom="942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76" w:right="144" w:firstLine="0"/>
        <w:jc w:val="center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highlighting the implementation of some of these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mechanisms are also discussed within the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report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1906" w:h="16838"/>
          <w:pgMar w:top="322" w:right="1440" w:bottom="942" w:left="732" w:header="720" w:footer="720" w:gutter="0"/>
          <w:cols w:num="2" w:equalWidth="0">
            <w:col w:w="4972" w:space="0"/>
            <w:col w:w="4761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48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At the 10th Plenary, participants acknowledged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that the risks of corruption in the selection of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buyers of publicly-owned commodities is significant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due to the large volume of commodities and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amount of money involved. It was agreed that the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establishment of rigorous and robust processes </w:t>
      </w:r>
    </w:p>
    <w:p>
      <w:pPr>
        <w:sectPr>
          <w:type w:val="nextColumn"/>
          <w:pgSz w:w="11906" w:h="16838"/>
          <w:pgMar w:top="322" w:right="1440" w:bottom="942" w:left="732" w:header="720" w:footer="720" w:gutter="0"/>
          <w:cols w:num="2" w:equalWidth="0">
            <w:col w:w="4972" w:space="0"/>
            <w:col w:w="476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1126"/>
        <w:ind w:left="0" w:right="20" w:firstLine="0"/>
        <w:jc w:val="right"/>
      </w:pPr>
      <w:r>
        <w:rPr>
          <w:rFonts w:ascii="Effra" w:hAnsi="Effra" w:eastAsia="Effra"/>
          <w:b w:val="0"/>
          <w:i w:val="0"/>
          <w:color w:val="000000"/>
          <w:sz w:val="16"/>
        </w:rPr>
        <w:t xml:space="preserve">11th Plenary of the OECD Natural Resources Policy Dialogue </w:t>
      </w:r>
      <w:r>
        <w:rPr>
          <w:rFonts w:ascii="Effra" w:hAnsi="Effra" w:eastAsia="Effra"/>
          <w:b w:val="0"/>
          <w:i w:val="0"/>
          <w:color w:val="0076BB"/>
          <w:sz w:val="16"/>
        </w:rPr>
        <w:t>\</w:t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4878"/>
        <w:gridCol w:w="4878"/>
      </w:tblGrid>
      <w:tr>
        <w:trPr>
          <w:trHeight w:hRule="exact" w:val="332"/>
        </w:trPr>
        <w:tc>
          <w:tcPr>
            <w:tcW w:type="dxa" w:w="4278"/>
            <w:tcBorders>
              <w:end w:sz="10.0" w:val="single" w:color="#FFFFFF"/>
              <w:bottom w:sz="10.0" w:val="single" w:color="#FFFFFF"/>
            </w:tcBorders>
            <w:shd w:fill="0076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FFFFFF"/>
                <w:sz w:val="20"/>
              </w:rPr>
              <w:t>Category 1: Physical commodity trade</w:t>
            </w:r>
          </w:p>
        </w:tc>
        <w:tc>
          <w:tcPr>
            <w:tcW w:type="dxa" w:w="4662"/>
            <w:tcBorders>
              <w:start w:sz="10.0" w:val="single" w:color="#FFFFFF"/>
              <w:end w:sz="10.0" w:val="single" w:color="#FFFFFF"/>
              <w:bottom w:sz="10.0" w:val="single" w:color="#FFFFFF"/>
            </w:tcBorders>
            <w:shd w:fill="0076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FFFFFF"/>
                <w:sz w:val="20"/>
              </w:rPr>
              <w:t>Category 2: Financial flows</w:t>
            </w:r>
          </w:p>
        </w:tc>
      </w:tr>
      <w:tr>
        <w:trPr>
          <w:trHeight w:hRule="exact" w:val="330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8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a. Quality (grade, API etc.)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8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a. Identity of the seller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b. Quantity/volumes (e.g. bbl., tonnes)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b. Identity of the buyer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c. Selling price (e.g. per bbl.)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c. Beneficial ownership of the buyer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d. Invoice/shipment/contract number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d. Involvement of politically exposed person (PEPs)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4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e. Date of sale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e. Conflicts of interest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f. Contract type (spot, long-term, swap etc.)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f. Group corporate structure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g. Incoterms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g. Fees, charges, credits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h. Loading / shipment date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h. Invoice amount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i. Load port, terminal or depot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i. Foreign exchange rate (if applicable)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j. Vessel name (if applicable)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95b8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j. Payment account</w:t>
            </w:r>
          </w:p>
        </w:tc>
      </w:tr>
      <w:tr>
        <w:trPr>
          <w:trHeight w:hRule="exact" w:val="318"/>
        </w:trPr>
        <w:tc>
          <w:tcPr>
            <w:tcW w:type="dxa" w:w="4278"/>
            <w:tcBorders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10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k. Destination</w:t>
            </w:r>
          </w:p>
        </w:tc>
        <w:tc>
          <w:tcPr>
            <w:tcW w:type="dxa" w:w="4662"/>
            <w:tcBorders>
              <w:start w:sz="10.0" w:val="single" w:color="#FFFFFF"/>
              <w:top w:sz="10.0" w:val="single" w:color="#FFFFFF"/>
              <w:end w:sz="10.0" w:val="single" w:color="#FFFFFF"/>
              <w:bottom w:sz="10.0" w:val="single" w:color="#FFFFFF"/>
            </w:tcBorders>
            <w:shd w:fill="c7d7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" w:after="0"/>
              <w:ind w:left="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k. Payment due date/receipt date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2"/>
        <w:gridCol w:w="3252"/>
        <w:gridCol w:w="3252"/>
      </w:tblGrid>
      <w:tr>
        <w:trPr>
          <w:trHeight w:hRule="exact" w:val="360"/>
        </w:trPr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8" w:after="0"/>
              <w:ind w:left="118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and criteria for the selection of buyers may help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to reduce any political pressure to use discretion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(whether in terms of pricing or arbitrariness of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selection) in the selection of buyers. Additionally,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companies active in trading acknowledged the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importance of transparency of trade-related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payment and the need for disclosure practices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around oil sales while highlighting the importance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of an assessment of the critical need for such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information and the assurance that it would indeed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translate into effective demand for accountability by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end-users.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8" w:after="0"/>
              <w:ind w:left="16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Competitiveness of the buyer selection</w:t>
            </w:r>
          </w:p>
        </w:tc>
      </w:tr>
      <w:tr>
        <w:trPr>
          <w:trHeight w:hRule="exact" w:val="320"/>
        </w:trPr>
        <w:tc>
          <w:tcPr>
            <w:tcW w:type="dxa" w:w="3252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4" w:after="0"/>
              <w:ind w:left="16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Transparency of the selection process </w:t>
            </w:r>
          </w:p>
        </w:tc>
      </w:tr>
      <w:tr>
        <w:trPr>
          <w:trHeight w:hRule="exact" w:val="580"/>
        </w:trPr>
        <w:tc>
          <w:tcPr>
            <w:tcW w:type="dxa" w:w="325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626" w:right="576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(disclosure of criteria, identity of buyer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and terms of contract)</w:t>
            </w:r>
          </w:p>
        </w:tc>
      </w:tr>
      <w:tr>
        <w:trPr>
          <w:trHeight w:hRule="exact" w:val="400"/>
        </w:trPr>
        <w:tc>
          <w:tcPr>
            <w:tcW w:type="dxa" w:w="3252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8" w:after="0"/>
              <w:ind w:left="16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Selection of marketers/agents</w:t>
            </w:r>
          </w:p>
        </w:tc>
      </w:tr>
      <w:tr>
        <w:trPr>
          <w:trHeight w:hRule="exact" w:val="320"/>
        </w:trPr>
        <w:tc>
          <w:tcPr>
            <w:tcW w:type="dxa" w:w="3252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4" w:after="0"/>
              <w:ind w:left="16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Due diligence and conflict of interest </w:t>
            </w:r>
          </w:p>
        </w:tc>
      </w:tr>
      <w:tr>
        <w:trPr>
          <w:trHeight w:hRule="exact" w:val="320"/>
        </w:trPr>
        <w:tc>
          <w:tcPr>
            <w:tcW w:type="dxa" w:w="325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62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(disclosure requirements)</w:t>
            </w:r>
          </w:p>
        </w:tc>
      </w:tr>
      <w:tr>
        <w:trPr>
          <w:trHeight w:hRule="exact" w:val="320"/>
        </w:trPr>
        <w:tc>
          <w:tcPr>
            <w:tcW w:type="dxa" w:w="3252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0" w:after="0"/>
              <w:ind w:left="16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Pricing (published policy or formula for </w:t>
            </w:r>
          </w:p>
        </w:tc>
      </w:tr>
      <w:tr>
        <w:trPr>
          <w:trHeight w:hRule="exact" w:val="618"/>
        </w:trPr>
        <w:tc>
          <w:tcPr>
            <w:tcW w:type="dxa" w:w="325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98" w:lineRule="auto" w:before="28" w:after="0"/>
              <w:ind w:left="172" w:right="576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price setting)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Regarding disclosure by trading companies,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pgSz w:w="11906" w:h="16838"/>
          <w:pgMar w:top="322" w:right="71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18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Subsequently, the OECD Development Centre, in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close coordination with the EITI Secretariat and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EITI Working Group on Commodity Trading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Transparency, convened a dedicated sub-group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of state-owned enterprises (SOEs) to collect and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share information on existing practices. The SOEs </w:t>
      </w:r>
    </w:p>
    <w:p>
      <w:pPr>
        <w:sectPr>
          <w:type w:val="continuous"/>
          <w:pgSz w:w="11906" w:h="16838"/>
          <w:pgMar w:top="322" w:right="710" w:bottom="1006" w:left="1440" w:header="720" w:footer="720" w:gutter="0"/>
          <w:cols w:num="2" w:equalWidth="0">
            <w:col w:w="4616" w:space="0"/>
            <w:col w:w="5139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34"/>
        <w:ind w:left="236" w:right="576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participants considered the type of information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necessary and useful to be disclosed in order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to create an effective accountability demand in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resource-rich countries. The proposed types of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information are grouped into two categories as set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out in the table above. </w:t>
      </w:r>
    </w:p>
    <w:p>
      <w:pPr>
        <w:sectPr>
          <w:type w:val="nextColumn"/>
          <w:pgSz w:w="11906" w:h="16838"/>
          <w:pgMar w:top="322" w:right="710" w:bottom="1006" w:left="1440" w:header="720" w:footer="720" w:gutter="0"/>
          <w:cols w:num="2" w:equalWidth="0">
            <w:col w:w="4616" w:space="0"/>
            <w:col w:w="513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2"/>
        <w:gridCol w:w="3252"/>
        <w:gridCol w:w="3252"/>
      </w:tblGrid>
      <w:tr>
        <w:trPr>
          <w:trHeight w:hRule="exact" w:val="24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agreed to contribute to a stock-taking exercise and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8" w:after="0"/>
              <w:ind w:left="0" w:right="94" w:firstLine="0"/>
              <w:jc w:val="righ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2"/>
              </w:rPr>
              <w:t xml:space="preserve">ii. 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8" w:after="0"/>
              <w:ind w:left="9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2"/>
              </w:rPr>
              <w:t>BEPS in Mining</w:t>
            </w:r>
          </w:p>
        </w:tc>
      </w:tr>
      <w:tr>
        <w:trPr>
          <w:trHeight w:hRule="exact" w:val="22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" w:after="0"/>
              <w:ind w:left="118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the subsequent comparative analysis as well as </w:t>
            </w:r>
          </w:p>
        </w:tc>
        <w:tc>
          <w:tcPr>
            <w:tcW w:type="dxa" w:w="3252"/>
            <w:vMerge/>
            <w:tcBorders/>
          </w:tcPr>
          <w:p/>
        </w:tc>
        <w:tc>
          <w:tcPr>
            <w:tcW w:type="dxa" w:w="32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4"/>
        <w:ind w:left="0" w:right="0"/>
      </w:pPr>
    </w:p>
    <w:p>
      <w:pPr>
        <w:sectPr>
          <w:type w:val="continuous"/>
          <w:pgSz w:w="11906" w:h="16838"/>
          <w:pgMar w:top="322" w:right="71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auto" w:before="0" w:after="0"/>
        <w:ind w:left="218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support the production of a guidance document. </w:t>
      </w:r>
    </w:p>
    <w:p>
      <w:pPr>
        <w:autoSpaceDN w:val="0"/>
        <w:autoSpaceDE w:val="0"/>
        <w:widowControl/>
        <w:spacing w:line="245" w:lineRule="auto" w:before="34" w:after="0"/>
        <w:ind w:left="218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 result of a preliminary stock-take based on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responses to a questionnaire distributed to several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SOEs was shared by the OECD Development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>Centre. Areas covered in the questionnaire include:</w:t>
      </w:r>
    </w:p>
    <w:p>
      <w:pPr>
        <w:sectPr>
          <w:type w:val="continuous"/>
          <w:pgSz w:w="11906" w:h="16838"/>
          <w:pgMar w:top="322" w:right="710" w:bottom="1006" w:left="1440" w:header="720" w:footer="720" w:gutter="0"/>
          <w:cols w:num="2" w:equalWidth="0">
            <w:col w:w="4646" w:space="0"/>
            <w:col w:w="5109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"/>
        <w:ind w:left="206" w:right="432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Two new guidance documents on tax incentives,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debt finance, and valuing mineral exports were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presented at the Plenary by the joint BEPS in Mining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programme of the OECD’s Centre for Tax Policy and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Administration (CTPA) and the Intergovernmental </w:t>
      </w:r>
    </w:p>
    <w:p>
      <w:pPr>
        <w:sectPr>
          <w:type w:val="nextColumn"/>
          <w:pgSz w:w="11906" w:h="16838"/>
          <w:pgMar w:top="322" w:right="710" w:bottom="1006" w:left="1440" w:header="720" w:footer="720" w:gutter="0"/>
          <w:cols w:num="2" w:equalWidth="0">
            <w:col w:w="4646" w:space="0"/>
            <w:col w:w="5109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2"/>
        <w:gridCol w:w="3252"/>
        <w:gridCol w:w="3252"/>
      </w:tblGrid>
      <w:tr>
        <w:trPr>
          <w:trHeight w:hRule="exact" w:val="234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30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Ownership of the commodities (SOE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Forum on Mining, Minerals, Metals and Sustainable </w:t>
            </w:r>
          </w:p>
        </w:tc>
      </w:tr>
      <w:tr>
        <w:trPr>
          <w:trHeight w:hRule="exact" w:val="138"/>
        </w:trPr>
        <w:tc>
          <w:tcPr>
            <w:tcW w:type="dxa" w:w="3252"/>
            <w:vMerge/>
            <w:tcBorders/>
          </w:tcPr>
          <w:p/>
        </w:tc>
        <w:tc>
          <w:tcPr>
            <w:tcW w:type="dxa" w:w="3252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" w:after="0"/>
              <w:ind w:left="39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Development (IGF). -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“Tax Incentives in Mining: </w:t>
                </w:r>
              </w:hyperlink>
            </w:r>
          </w:p>
        </w:tc>
      </w:tr>
      <w:tr>
        <w:trPr>
          <w:trHeight w:hRule="exact" w:val="124"/>
        </w:trPr>
        <w:tc>
          <w:tcPr>
            <w:tcW w:type="dxa" w:w="3252"/>
            <w:vMerge/>
            <w:tcBorders/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or Government)</w:t>
            </w:r>
          </w:p>
        </w:tc>
        <w:tc>
          <w:tcPr>
            <w:tcW w:type="dxa" w:w="325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252"/>
            <w:vMerge/>
            <w:tcBorders/>
          </w:tcPr>
          <w:p/>
        </w:tc>
        <w:tc>
          <w:tcPr>
            <w:tcW w:type="dxa" w:w="3252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39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>Minimising Risks to Revenue”</w:t>
                </w:r>
              </w:hyperlink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“Monitoring the </w:t>
                </w:r>
              </w:hyperlink>
            </w:r>
          </w:p>
        </w:tc>
      </w:tr>
      <w:tr>
        <w:trPr>
          <w:trHeight w:hRule="exact" w:val="22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0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Types of arrangements (spot, term sales,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39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>Value of Mineral Exports”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32"/>
        <w:ind w:left="0" w:right="0"/>
      </w:pPr>
    </w:p>
    <w:p>
      <w:pPr>
        <w:sectPr>
          <w:type w:val="continuous"/>
          <w:pgSz w:w="11906" w:h="16838"/>
          <w:pgMar w:top="322" w:right="71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70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swaps, government to government, resource </w:t>
      </w:r>
      <w:r>
        <w:rPr>
          <w:rFonts w:ascii="Effra" w:hAnsi="Effra" w:eastAsia="Effra"/>
          <w:b w:val="0"/>
          <w:i w:val="0"/>
          <w:color w:val="000000"/>
          <w:sz w:val="20"/>
        </w:rPr>
        <w:t>backed financing)</w:t>
      </w:r>
    </w:p>
    <w:p>
      <w:pPr>
        <w:sectPr>
          <w:type w:val="continuous"/>
          <w:pgSz w:w="11906" w:h="16838"/>
          <w:pgMar w:top="322" w:right="710" w:bottom="1006" w:left="1440" w:header="720" w:footer="720" w:gutter="0"/>
          <w:cols w:num="2" w:equalWidth="0">
            <w:col w:w="4654" w:space="0"/>
            <w:col w:w="510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6"/>
        <w:ind w:left="198" w:right="576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In addition, there was a demonstration of a financial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model designed by CTPA/IGF to help countries </w:t>
      </w:r>
    </w:p>
    <w:p>
      <w:pPr>
        <w:sectPr>
          <w:type w:val="nextColumn"/>
          <w:pgSz w:w="11906" w:h="16838"/>
          <w:pgMar w:top="322" w:right="710" w:bottom="1006" w:left="1440" w:header="720" w:footer="720" w:gutter="0"/>
          <w:cols w:num="2" w:equalWidth="0">
            <w:col w:w="4654" w:space="0"/>
            <w:col w:w="51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252"/>
        <w:gridCol w:w="3252"/>
        <w:gridCol w:w="3252"/>
      </w:tblGrid>
      <w:tr>
        <w:trPr>
          <w:trHeight w:hRule="exact" w:val="244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Methods for buyer selection (competitive or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understand the impact of tax incentives on revenue </w:t>
            </w:r>
          </w:p>
        </w:tc>
      </w:tr>
      <w:tr>
        <w:trPr>
          <w:trHeight w:hRule="exact" w:val="226"/>
        </w:trPr>
        <w:tc>
          <w:tcPr>
            <w:tcW w:type="dxa" w:w="3252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17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direct negotiations)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25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from the mining sector.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22" w:right="710" w:bottom="10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21" w:lineRule="auto" w:before="0" w:after="1130"/>
        <w:ind w:left="0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16"/>
        </w:rPr>
        <w:t xml:space="preserve">4 </w:t>
      </w:r>
      <w:r>
        <w:rPr>
          <w:rFonts w:ascii="Effra" w:hAnsi="Effra" w:eastAsia="Effra"/>
          <w:b w:val="0"/>
          <w:i w:val="0"/>
          <w:color w:val="0076BB"/>
          <w:sz w:val="16"/>
        </w:rPr>
        <w:t>\</w:t>
      </w:r>
      <w:r>
        <w:rPr>
          <w:rFonts w:ascii="Effra" w:hAnsi="Effra" w:eastAsia="Effra"/>
          <w:b w:val="0"/>
          <w:i w:val="0"/>
          <w:color w:val="000000"/>
          <w:sz w:val="16"/>
        </w:rPr>
        <w:t>Briefing Note</w:t>
      </w:r>
    </w:p>
    <w:p>
      <w:pPr>
        <w:sectPr>
          <w:pgSz w:w="11906" w:h="16838"/>
          <w:pgMar w:top="322" w:right="1066" w:bottom="502" w:left="7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3" w:lineRule="auto" w:before="0" w:after="0"/>
        <w:ind w:left="586" w:right="0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>Book Launch</w:t>
      </w:r>
    </w:p>
    <w:p>
      <w:pPr>
        <w:autoSpaceDN w:val="0"/>
        <w:autoSpaceDE w:val="0"/>
        <w:widowControl/>
        <w:spacing w:line="250" w:lineRule="auto" w:before="162" w:after="0"/>
        <w:ind w:left="586" w:right="14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The plenary also presented an opportunity for the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launch of a new book by Tony Adison and Alan Roe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entitled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Extractive Industries; The Management of </w:t>
      </w:r>
      <w:r>
        <w:rPr>
          <w:rFonts w:ascii="Effra" w:hAnsi="Effra" w:eastAsia="Effra"/>
          <w:b w:val="0"/>
          <w:i/>
          <w:color w:val="000000"/>
          <w:sz w:val="20"/>
        </w:rPr>
        <w:t>Resources as a Driver of Sustainable Development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.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book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“…provides a comprehensive contribution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to what must be done in this sector to deliver </w:t>
      </w:r>
      <w:r>
        <w:br/>
      </w:r>
      <w:r>
        <w:rPr>
          <w:rFonts w:ascii="Effra" w:hAnsi="Effra" w:eastAsia="Effra"/>
          <w:b w:val="0"/>
          <w:i/>
          <w:color w:val="000000"/>
          <w:sz w:val="20"/>
        </w:rPr>
        <w:t xml:space="preserve">development, protect often fragile environments from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damage, enhance the rights of affected communities,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and support climate change action. It argues that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more attention must be given to the development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role of extractive industries, and looks to the future to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explain how action on climate change will profoundly </w:t>
      </w:r>
      <w:r>
        <w:rPr>
          <w:rFonts w:ascii="Effra" w:hAnsi="Effra" w:eastAsia="Effra"/>
          <w:b w:val="0"/>
          <w:i/>
          <w:color w:val="000000"/>
          <w:sz w:val="20"/>
        </w:rPr>
        <w:t xml:space="preserve">shape the sector’s prospects.”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book is available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as a free access title and can be downloaded </w:t>
      </w:r>
      <w:r>
        <w:rPr>
          <w:rFonts w:ascii="Effra" w:hAnsi="Effra" w:eastAsia="Effra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here</w:t>
          </w:r>
        </w:hyperlink>
      </w:r>
      <w:r>
        <w:rPr>
          <w:rFonts w:ascii="Effra" w:hAnsi="Effra" w:eastAsia="Effra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11906" w:h="16838"/>
          <w:pgMar w:top="322" w:right="1066" w:bottom="502" w:left="732" w:header="720" w:footer="720" w:gutter="0"/>
          <w:cols w:num="2" w:equalWidth="0">
            <w:col w:w="5066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223" w:lineRule="auto" w:before="228" w:after="0"/>
        <w:ind w:left="370" w:right="0" w:firstLine="0"/>
        <w:jc w:val="left"/>
      </w:pPr>
      <w:r>
        <w:rPr>
          <w:rFonts w:ascii="Effra" w:hAnsi="Effra" w:eastAsia="Effra"/>
          <w:b w:val="0"/>
          <w:i w:val="0"/>
          <w:color w:val="0076BB"/>
          <w:sz w:val="22"/>
        </w:rPr>
        <w:t>IGF-OECD ‘BEPS in Mining Program’</w:t>
      </w:r>
    </w:p>
    <w:p>
      <w:pPr>
        <w:autoSpaceDN w:val="0"/>
        <w:autoSpaceDE w:val="0"/>
        <w:widowControl/>
        <w:spacing w:line="247" w:lineRule="auto" w:before="152" w:after="18"/>
        <w:ind w:left="370" w:right="864" w:firstLine="0"/>
        <w:jc w:val="left"/>
      </w:pPr>
      <w:r>
        <w:rPr>
          <w:rFonts w:ascii="Effra" w:hAnsi="Effra" w:eastAsia="Effra"/>
          <w:b w:val="0"/>
          <w:i w:val="0"/>
          <w:color w:val="000000"/>
          <w:sz w:val="20"/>
        </w:rPr>
        <w:t xml:space="preserve">BEPS are a particular risk to resource-rich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developing countries given their reliance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on corporate income tax and the lack of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sector specific expertise. Building on the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OECD/G20-led actions on BEPS, the </w:t>
      </w:r>
      <w:r>
        <w:br/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programme aims to produce practical policy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and administrative tools to counter BEPS in </w:t>
      </w:r>
      <w:r>
        <w:rPr>
          <w:rFonts w:ascii="Effra" w:hAnsi="Effra" w:eastAsia="Effra"/>
          <w:b w:val="0"/>
          <w:i w:val="0"/>
          <w:color w:val="000000"/>
          <w:sz w:val="20"/>
        </w:rPr>
        <w:t xml:space="preserve">the mining sector. The following have been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9" w:type="dxa"/>
      </w:tblPr>
      <w:tblGrid>
        <w:gridCol w:w="5054"/>
        <w:gridCol w:w="5054"/>
      </w:tblGrid>
      <w:tr>
        <w:trPr>
          <w:trHeight w:hRule="exact" w:val="308"/>
        </w:trPr>
        <w:tc>
          <w:tcPr>
            <w:tcW w:type="dxa" w:w="4296"/>
            <w:gridSpan w:val="2"/>
            <w:tcBorders/>
            <w:shd w:fill="e0e8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216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identified as high-priority areas </w:t>
            </w:r>
          </w:p>
        </w:tc>
      </w:tr>
      <w:tr>
        <w:trPr>
          <w:trHeight w:hRule="exact" w:val="380"/>
        </w:trPr>
        <w:tc>
          <w:tcPr>
            <w:tcW w:type="dxa" w:w="48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80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6" w:after="0"/>
              <w:ind w:left="1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Excessive interest deductions*</w:t>
            </w:r>
          </w:p>
        </w:tc>
      </w:tr>
      <w:tr>
        <w:trPr>
          <w:trHeight w:hRule="exact" w:val="400"/>
        </w:trPr>
        <w:tc>
          <w:tcPr>
            <w:tcW w:type="dxa" w:w="48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6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80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2" w:after="0"/>
              <w:ind w:left="1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Abusive transfer pricing*</w:t>
            </w:r>
          </w:p>
        </w:tc>
      </w:tr>
      <w:tr>
        <w:trPr>
          <w:trHeight w:hRule="exact" w:val="380"/>
        </w:trPr>
        <w:tc>
          <w:tcPr>
            <w:tcW w:type="dxa" w:w="48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2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80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0" w:after="0"/>
              <w:ind w:left="1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Undervaluation of mineral exports*</w:t>
            </w:r>
          </w:p>
        </w:tc>
      </w:tr>
      <w:tr>
        <w:trPr>
          <w:trHeight w:hRule="exact" w:val="380"/>
        </w:trPr>
        <w:tc>
          <w:tcPr>
            <w:tcW w:type="dxa" w:w="48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80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96" w:after="0"/>
              <w:ind w:left="1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Harmful tax incentives*</w:t>
            </w:r>
          </w:p>
        </w:tc>
      </w:tr>
      <w:tr>
        <w:trPr>
          <w:trHeight w:hRule="exact" w:val="346"/>
        </w:trPr>
        <w:tc>
          <w:tcPr>
            <w:tcW w:type="dxa" w:w="48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6" w:after="0"/>
              <w:ind w:left="0" w:right="0" w:firstLine="0"/>
              <w:jc w:val="center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808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4" w:after="0"/>
              <w:ind w:left="182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Tax stabilization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45" w:type="dxa"/>
      </w:tblPr>
      <w:tblGrid>
        <w:gridCol w:w="5054"/>
        <w:gridCol w:w="5054"/>
      </w:tblGrid>
      <w:tr>
        <w:trPr>
          <w:trHeight w:hRule="exact" w:val="2238"/>
        </w:trPr>
        <w:tc>
          <w:tcPr>
            <w:tcW w:type="dxa" w:w="460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398" w:after="0"/>
              <w:ind w:left="188" w:right="148" w:firstLine="0"/>
              <w:jc w:val="both"/>
            </w:pP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76BB"/>
                <w:sz w:val="20"/>
              </w:rPr>
              <w:t xml:space="preserve">• </w:t>
            </w:r>
          </w:p>
        </w:tc>
        <w:tc>
          <w:tcPr>
            <w:tcW w:type="dxa" w:w="3640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18" w:after="0"/>
              <w:ind w:left="182" w:right="72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investment treaties*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International tax treaties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Metals streaming </w:t>
            </w:r>
            <w:r>
              <w:br/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Abusive hedging arrangements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 xml:space="preserve">Indirect transfer of mining assets </w:t>
            </w:r>
            <w:r>
              <w:rPr>
                <w:rFonts w:ascii="Effra" w:hAnsi="Effra" w:eastAsia="Effra"/>
                <w:b w:val="0"/>
                <w:i w:val="0"/>
                <w:color w:val="000000"/>
                <w:sz w:val="20"/>
              </w:rPr>
              <w:t>Inadequate ring-fencing</w:t>
            </w:r>
          </w:p>
        </w:tc>
      </w:tr>
    </w:tbl>
    <w:p>
      <w:pPr>
        <w:autoSpaceDN w:val="0"/>
        <w:autoSpaceDE w:val="0"/>
        <w:widowControl/>
        <w:spacing w:line="1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45" w:type="dxa"/>
      </w:tblPr>
      <w:tblGrid>
        <w:gridCol w:w="10108"/>
      </w:tblGrid>
      <w:tr>
        <w:trPr>
          <w:trHeight w:hRule="exact" w:val="278"/>
        </w:trPr>
        <w:tc>
          <w:tcPr>
            <w:tcW w:type="dxa" w:w="3680"/>
            <w:tcBorders/>
            <w:shd w:fill="e0e8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188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>*Work has begun on these topics.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886"/>
        <w:ind w:left="0" w:right="0"/>
      </w:pPr>
    </w:p>
    <w:p>
      <w:pPr>
        <w:sectPr>
          <w:type w:val="nextColumn"/>
          <w:pgSz w:w="11906" w:h="16838"/>
          <w:pgMar w:top="322" w:right="1066" w:bottom="502" w:left="732" w:header="720" w:footer="720" w:gutter="0"/>
          <w:cols w:num="2" w:equalWidth="0">
            <w:col w:w="5066" w:space="0"/>
            <w:col w:w="50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2.0" w:type="dxa"/>
      </w:tblPr>
      <w:tblGrid>
        <w:gridCol w:w="3369"/>
        <w:gridCol w:w="3369"/>
        <w:gridCol w:w="3369"/>
      </w:tblGrid>
      <w:tr>
        <w:trPr>
          <w:trHeight w:hRule="exact" w:val="434"/>
        </w:trPr>
        <w:tc>
          <w:tcPr>
            <w:tcW w:type="dxa" w:w="2496"/>
            <w:vMerge w:val="restart"/>
            <w:tcBorders>
              <w:top w:sz="8.0" w:val="single" w:color="#368CC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10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44500" cy="469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6"/>
            <w:tcBorders>
              <w:top w:sz="8.0" w:val="single" w:color="#368C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6" w:after="0"/>
              <w:ind w:left="29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>© Commonwealth Secretariat 2019</w:t>
            </w:r>
          </w:p>
        </w:tc>
        <w:tc>
          <w:tcPr>
            <w:tcW w:type="dxa" w:w="564"/>
            <w:vMerge w:val="restart"/>
            <w:tcBorders>
              <w:top w:sz="8.0" w:val="single" w:color="#368CC8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30" w:after="0"/>
              <w:ind w:left="0" w:right="220" w:firstLine="0"/>
              <w:jc w:val="righ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2"/>
              </w:rPr>
              <w:t>P16613</w:t>
            </w:r>
          </w:p>
        </w:tc>
      </w:tr>
      <w:tr>
        <w:trPr>
          <w:trHeight w:hRule="exact" w:val="320"/>
        </w:trPr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  <w:tc>
          <w:tcPr>
            <w:tcW w:type="dxa" w:w="6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74" w:after="0"/>
              <w:ind w:left="29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>Author: Oceans and Natural Resources Section, Commonwealth Secretariat, London, UK.</w:t>
            </w:r>
          </w:p>
        </w:tc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</w:tr>
      <w:tr>
        <w:trPr>
          <w:trHeight w:hRule="exact" w:val="240"/>
        </w:trPr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  <w:tc>
          <w:tcPr>
            <w:tcW w:type="dxa" w:w="6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29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 xml:space="preserve">Views and opinions expressed in this publication are the responsibility of the authors </w:t>
            </w:r>
          </w:p>
        </w:tc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</w:tr>
      <w:tr>
        <w:trPr>
          <w:trHeight w:hRule="exact" w:val="200"/>
        </w:trPr>
        <w:tc>
          <w:tcPr>
            <w:tcW w:type="dxa" w:w="24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3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0" w:after="0"/>
              <w:ind w:left="29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 xml:space="preserve">and should in no way be attributed to the institutions to which they are affiliated or to </w:t>
            </w:r>
          </w:p>
        </w:tc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</w:tr>
      <w:tr>
        <w:trPr>
          <w:trHeight w:hRule="exact" w:val="268"/>
        </w:trPr>
        <w:tc>
          <w:tcPr>
            <w:tcW w:type="dxa" w:w="3369"/>
            <w:vMerge/>
            <w:tcBorders/>
          </w:tcPr>
          <w:p/>
        </w:tc>
        <w:tc>
          <w:tcPr>
            <w:tcW w:type="dxa" w:w="64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8" w:after="0"/>
              <w:ind w:left="290" w:right="0" w:firstLine="0"/>
              <w:jc w:val="left"/>
            </w:pPr>
            <w:r>
              <w:rPr>
                <w:rFonts w:ascii="Effra" w:hAnsi="Effra" w:eastAsia="Effra"/>
                <w:b w:val="0"/>
                <w:i w:val="0"/>
                <w:color w:val="000000"/>
                <w:sz w:val="16"/>
              </w:rPr>
              <w:t>the Commonwealth Secretariat.</w:t>
            </w:r>
          </w:p>
        </w:tc>
        <w:tc>
          <w:tcPr>
            <w:tcW w:type="dxa" w:w="3369"/>
            <w:vMerge/>
            <w:tcBorders>
              <w:top w:sz="8.0" w:val="single" w:color="#368CC8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64" w:after="0"/>
        <w:ind w:left="3358" w:right="864" w:firstLine="0"/>
        <w:jc w:val="left"/>
      </w:pPr>
      <w:r>
        <w:rPr>
          <w:rFonts w:ascii="Effra" w:hAnsi="Effra" w:eastAsia="Effra"/>
          <w:b w:val="0"/>
          <w:i w:val="0"/>
          <w:color w:val="000000"/>
          <w:sz w:val="16"/>
        </w:rPr>
        <w:t xml:space="preserve">For more information on these items, or any extractives sector matters, please contact </w:t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Naadira Ogeer, </w:t>
      </w:r>
      <w:r>
        <w:rPr>
          <w:rFonts w:ascii="Effra" w:hAnsi="Effra" w:eastAsia="Effra"/>
          <w:b w:val="0"/>
          <w:i w:val="0"/>
          <w:color w:val="000000"/>
          <w:sz w:val="16"/>
        </w:rPr>
        <w:hyperlink r:id="rId24" w:history="1">
          <w:r>
            <w:rPr>
              <w:rStyle w:val="Hyperlink"/>
            </w:rPr>
            <w:t>n.ogeer@commonwealth.int</w:t>
          </w:r>
        </w:hyperlink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 </w:t>
      </w:r>
      <w:r>
        <w:br/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or Alache Fisho, </w:t>
      </w:r>
      <w:r>
        <w:rPr>
          <w:rFonts w:ascii="Effra" w:hAnsi="Effra" w:eastAsia="Effra"/>
          <w:b w:val="0"/>
          <w:i w:val="0"/>
          <w:color w:val="000000"/>
          <w:sz w:val="16"/>
        </w:rPr>
        <w:hyperlink r:id="rId25" w:history="1">
          <w:r>
            <w:rPr>
              <w:rStyle w:val="Hyperlink"/>
            </w:rPr>
            <w:t>a.fisho@commonwealth.int</w:t>
          </w:r>
        </w:hyperlink>
      </w:r>
    </w:p>
    <w:p>
      <w:pPr>
        <w:autoSpaceDN w:val="0"/>
        <w:autoSpaceDE w:val="0"/>
        <w:widowControl/>
        <w:spacing w:line="245" w:lineRule="auto" w:before="134" w:after="0"/>
        <w:ind w:left="3358" w:right="2304" w:firstLine="0"/>
        <w:jc w:val="left"/>
      </w:pPr>
      <w:r>
        <w:rPr>
          <w:rFonts w:ascii="Effra" w:hAnsi="Effra" w:eastAsia="Effra"/>
          <w:b w:val="0"/>
          <w:i w:val="0"/>
          <w:color w:val="000000"/>
          <w:sz w:val="16"/>
        </w:rPr>
        <w:t xml:space="preserve">Commonwealth Secretariat </w:t>
      </w:r>
      <w:r>
        <w:br/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Marlborough House, Pall Mall, London SW1Y 5HX, United Kingdom </w:t>
      </w:r>
      <w:r>
        <w:br/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Tel: </w:t>
      </w:r>
      <w:r>
        <w:rPr>
          <w:rFonts w:ascii="Effra" w:hAnsi="Effra" w:eastAsia="Effra"/>
          <w:b w:val="0"/>
          <w:i w:val="0"/>
          <w:color w:val="000000"/>
          <w:sz w:val="16"/>
        </w:rPr>
        <w:t xml:space="preserve">+44 (0)20 7747 6500 </w:t>
      </w:r>
      <w:r>
        <w:br/>
      </w:r>
      <w:r>
        <w:rPr>
          <w:rFonts w:ascii="Effra" w:hAnsi="Effra" w:eastAsia="Effra"/>
          <w:b w:val="0"/>
          <w:i w:val="0"/>
          <w:color w:val="000000"/>
          <w:sz w:val="16"/>
        </w:rPr>
        <w:hyperlink r:id="rId26" w:history="1">
          <w:r>
            <w:rPr>
              <w:rStyle w:val="Hyperlink"/>
            </w:rPr>
            <w:t>www.thecommonwealth.org</w:t>
          </w:r>
        </w:hyperlink>
      </w:r>
    </w:p>
    <w:sectPr w:rsidR="00FC693F" w:rsidRPr="0006063C" w:rsidSect="00034616">
      <w:type w:val="continuous"/>
      <w:pgSz w:w="11906" w:h="16838"/>
      <w:pgMar w:top="322" w:right="1066" w:bottom="502" w:left="7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oecd.org/dev/natural-resources.htm" TargetMode="External"/><Relationship Id="rId10" Type="http://schemas.openxmlformats.org/officeDocument/2006/relationships/hyperlink" Target="https://www.un.org/sustainabledevelopment/sustainable-development-goals/" TargetMode="External"/><Relationship Id="rId11" Type="http://schemas.openxmlformats.org/officeDocument/2006/relationships/hyperlink" Target="http://thecommonwealth.org/sites/default/files/inline/P15869_TONR_ONR_Briefing_Naadira_Ogeer_V2.pdf" TargetMode="External"/><Relationship Id="rId12" Type="http://schemas.openxmlformats.org/officeDocument/2006/relationships/hyperlink" Target="http://thecommonwealth.org/sites/default/files/inline/P16153_TONR_ONR_Briefing_Naadira_Ogeer_V2.pdf" TargetMode="External"/><Relationship Id="rId13" Type="http://schemas.openxmlformats.org/officeDocument/2006/relationships/hyperlink" Target="http://www.oecd.org/dev/Session_7_Jane_Korinek_Extractive_Industries_in_Global_Value_Chains.pdf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www.oecd.org/dev/policy-dialogue-on-natural-resource-compendium.htm" TargetMode="External"/><Relationship Id="rId16" Type="http://schemas.openxmlformats.org/officeDocument/2006/relationships/hyperlink" Target="mailto:n.ogeer@commonwealth.int" TargetMode="External"/><Relationship Id="rId17" Type="http://schemas.openxmlformats.org/officeDocument/2006/relationships/hyperlink" Target="mailto:a.fisho@commonwealth.int" TargetMode="External"/><Relationship Id="rId18" Type="http://schemas.openxmlformats.org/officeDocument/2006/relationships/hyperlink" Target="http://www.oecd.org/dev/%5bSession1%5d_Consolidated_Report_Work_Stream_2.pdf" TargetMode="External"/><Relationship Id="rId19" Type="http://schemas.openxmlformats.org/officeDocument/2006/relationships/hyperlink" Target="https://www.oecd.org/tax/beps/tax-incentives-in-mining-minimising-risks-to-revenue-oecd-igf.pdf" TargetMode="External"/><Relationship Id="rId20" Type="http://schemas.openxmlformats.org/officeDocument/2006/relationships/hyperlink" Target="http://www.oecd.org/tax/beps/monitoring-the-value-of-mineral-exports-oecd-igf.pdf" TargetMode="External"/><Relationship Id="rId21" Type="http://schemas.openxmlformats.org/officeDocument/2006/relationships/hyperlink" Target="http://fdslive.oup.com/www.oup.com/academic/pdf/openaccess/9780198817369.pdf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hyperlink" Target="mailto:n.ogeer%40commonwealth.int?subject=" TargetMode="External"/><Relationship Id="rId25" Type="http://schemas.openxmlformats.org/officeDocument/2006/relationships/hyperlink" Target="mailto:a.fisho%40commonwealth.int?subject=" TargetMode="External"/><Relationship Id="rId26" Type="http://schemas.openxmlformats.org/officeDocument/2006/relationships/hyperlink" Target="http://www.thecommonw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