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98"/>
        <w:ind w:left="0" w:right="0"/>
      </w:pPr>
    </w:p>
    <w:p>
      <w:pPr>
        <w:autoSpaceDN w:val="0"/>
        <w:tabs>
          <w:tab w:pos="214" w:val="left"/>
        </w:tabs>
        <w:autoSpaceDE w:val="0"/>
        <w:widowControl/>
        <w:spacing w:line="283" w:lineRule="auto" w:before="0" w:after="0"/>
        <w:ind w:left="158" w:right="1296" w:firstLine="0"/>
        <w:jc w:val="left"/>
      </w:pPr>
      <w:r>
        <w:rPr>
          <w:rFonts w:ascii="Effra" w:hAnsi="Effra" w:eastAsia="Effra"/>
          <w:b/>
          <w:i w:val="0"/>
        </w:rPr>
        <w:t xml:space="preserve">ONR Briefing Note </w:t>
      </w:r>
    </w:p>
    <w:p>
      <w:pPr>
        <w:sectPr>
          <w:pgSz w:w="11906" w:h="16838"/>
          <w:pgMar w:top="916" w:right="1270" w:bottom="7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4"/>
        <w:ind w:left="0" w:right="0"/>
      </w:pPr>
    </w:p>
    <w:p>
      <w:pPr>
        <w:autoSpaceDN w:val="0"/>
        <w:autoSpaceDE w:val="0"/>
        <w:widowControl/>
        <w:spacing w:line="221" w:lineRule="auto" w:before="0" w:after="0"/>
        <w:ind w:left="0" w:right="0" w:firstLine="0"/>
        <w:jc w:val="left"/>
      </w:pPr>
      <w:r>
        <w:rPr>
          <w:rFonts w:ascii="Effra" w:hAnsi="Effra" w:eastAsia="Effra"/>
          <w:b w:val="0"/>
          <w:i w:val="0"/>
        </w:rPr>
        <w:t xml:space="preserve">2 </w:t>
      </w:r>
    </w:p>
    <w:p>
      <w:pPr>
        <w:sectPr>
          <w:pgSz w:w="11906" w:h="16838"/>
          <w:pgMar w:top="322" w:right="1440" w:bottom="942" w:left="7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4"/>
        <w:ind w:left="0" w:right="0"/>
      </w:pPr>
    </w:p>
    <w:p>
      <w:pPr>
        <w:autoSpaceDN w:val="0"/>
        <w:autoSpaceDE w:val="0"/>
        <w:widowControl/>
        <w:spacing w:line="221" w:lineRule="auto" w:before="0" w:after="1126"/>
        <w:ind w:left="0" w:right="20" w:firstLine="0"/>
        <w:jc w:val="right"/>
      </w:pPr>
      <w:r>
        <w:rPr>
          <w:rFonts w:ascii="Effra" w:hAnsi="Effra" w:eastAsia="Effra"/>
          <w:b w:val="0"/>
          <w:i w:val="0"/>
        </w:rPr>
        <w:t xml:space="preserve">11th Plenary of the OECD Natural Resources Policy Dialogue </w:t>
      </w:r>
    </w:p>
    <w:p>
      <w:pPr>
        <w:sectPr>
          <w:pgSz w:w="11906" w:h="16838"/>
          <w:pgMar w:top="322" w:right="710" w:bottom="100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4"/>
        <w:ind w:left="0" w:right="0"/>
      </w:pPr>
    </w:p>
    <w:p>
      <w:pPr>
        <w:autoSpaceDN w:val="0"/>
        <w:autoSpaceDE w:val="0"/>
        <w:widowControl/>
        <w:spacing w:line="221" w:lineRule="auto" w:before="0" w:after="0"/>
        <w:ind w:left="0" w:right="0" w:firstLine="0"/>
        <w:jc w:val="left"/>
      </w:pPr>
      <w:r>
        <w:rPr>
          <w:rFonts w:ascii="Effra" w:hAnsi="Effra" w:eastAsia="Effra"/>
          <w:b w:val="0"/>
          <w:i w:val="0"/>
        </w:rPr>
        <w:t xml:space="preserve">4 </w:t>
      </w:r>
    </w:p>
    <w:sectPr w:rsidR="00FC693F" w:rsidRPr="0006063C" w:rsidSect="00034616">
      <w:pgSz w:w="11906" w:h="16838"/>
      <w:pgMar w:top="322" w:right="1066" w:bottom="502" w:left="73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