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46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5050790</wp:posOffset>
            </wp:positionH>
            <wp:positionV relativeFrom="page">
              <wp:posOffset>495300</wp:posOffset>
            </wp:positionV>
            <wp:extent cx="2052319" cy="504078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2319" cy="50407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10702379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70237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568" w:lineRule="exact" w:before="0" w:after="0"/>
        <w:ind w:left="54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FFFFFF"/>
          <w:sz w:val="48"/>
        </w:rPr>
        <w:t xml:space="preserve">SERVICES DOMESTIC REGULATION IN THE WTO: </w:t>
      </w:r>
      <w:r>
        <w:rPr>
          <w:rFonts w:ascii="HelveticaNeueLTStd" w:hAnsi="HelveticaNeueLTStd" w:eastAsia="HelveticaNeueLTStd"/>
          <w:b w:val="0"/>
          <w:i w:val="0"/>
          <w:color w:val="FFFFFF"/>
          <w:sz w:val="48"/>
        </w:rPr>
        <w:t xml:space="preserve">CUTTING RED TAPE, SLASHING TRADE  COSTS, </w:t>
      </w:r>
      <w:r>
        <w:rPr>
          <w:rFonts w:ascii="HelveticaNeueLTStd" w:hAnsi="HelveticaNeueLTStd" w:eastAsia="HelveticaNeueLTStd"/>
          <w:b w:val="0"/>
          <w:i w:val="0"/>
          <w:color w:val="FFFFFF"/>
          <w:sz w:val="48"/>
        </w:rPr>
        <w:t>AND FACILITATING SERVICES TRADE</w:t>
      </w:r>
    </w:p>
    <w:p>
      <w:pPr>
        <w:autoSpaceDN w:val="0"/>
        <w:autoSpaceDE w:val="0"/>
        <w:widowControl/>
        <w:spacing w:line="354" w:lineRule="exact" w:before="7948" w:after="0"/>
        <w:ind w:left="0" w:right="0" w:firstLine="0"/>
        <w:jc w:val="left"/>
      </w:pPr>
      <w:r>
        <w:rPr>
          <w:rFonts w:ascii="HelveticaNeue" w:hAnsi="HelveticaNeue" w:eastAsia="HelveticaNeue"/>
          <w:b w:val="0"/>
          <w:i w:val="0"/>
          <w:color w:val="FFFFFF"/>
          <w:sz w:val="30"/>
        </w:rPr>
        <w:t>NOVEMBER 2021</w:t>
      </w:r>
    </w:p>
    <w:p>
      <w:pPr>
        <w:sectPr>
          <w:pgSz w:w="11906" w:h="16838"/>
          <w:pgMar w:top="1440" w:right="428" w:bottom="350" w:left="6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4"/>
        <w:ind w:left="0" w:right="0"/>
      </w:pPr>
    </w:p>
    <w:p>
      <w:pPr>
        <w:autoSpaceDN w:val="0"/>
        <w:tabs>
          <w:tab w:pos="6868" w:val="left"/>
        </w:tabs>
        <w:autoSpaceDE w:val="0"/>
        <w:widowControl/>
        <w:spacing w:line="240" w:lineRule="auto" w:before="0" w:after="0"/>
        <w:ind w:left="419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54150" cy="431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431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388109" cy="3238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8109" cy="323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auto" w:before="346" w:after="0"/>
        <w:ind w:left="28" w:right="86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Services domestic regulation in the WTO: </w:t>
      </w:r>
      <w:r>
        <w:br/>
      </w:r>
      <w:r>
        <w:rPr>
          <w:rFonts w:ascii="Arial" w:hAnsi="Arial" w:eastAsia="Arial"/>
          <w:b/>
          <w:i w:val="0"/>
          <w:color w:val="000000"/>
          <w:sz w:val="25"/>
        </w:rPr>
        <w:t xml:space="preserve">Cutting red tape, slashing trade costs, and facilitating services trade </w:t>
      </w:r>
    </w:p>
    <w:p>
      <w:pPr>
        <w:autoSpaceDN w:val="0"/>
        <w:autoSpaceDE w:val="0"/>
        <w:widowControl/>
        <w:spacing w:line="286" w:lineRule="auto" w:before="64" w:after="0"/>
        <w:ind w:left="2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19 November 2021 </w:t>
      </w:r>
    </w:p>
    <w:p>
      <w:pPr>
        <w:autoSpaceDN w:val="0"/>
        <w:autoSpaceDE w:val="0"/>
        <w:widowControl/>
        <w:spacing w:line="298" w:lineRule="auto" w:before="512" w:after="134"/>
        <w:ind w:left="28" w:right="0" w:firstLine="0"/>
        <w:jc w:val="left"/>
      </w:pPr>
      <w:r>
        <w:rPr>
          <w:rFonts w:ascii="Arial" w:hAnsi="Arial" w:eastAsia="Arial"/>
          <w:b/>
          <w:i w:val="0"/>
          <w:color w:val="01629A"/>
          <w:sz w:val="22"/>
        </w:rPr>
        <w:t xml:space="preserve">Key messages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63"/>
        <w:gridCol w:w="4563"/>
      </w:tblGrid>
      <w:tr>
        <w:trPr>
          <w:trHeight w:hRule="exact" w:val="5306"/>
        </w:trPr>
        <w:tc>
          <w:tcPr>
            <w:tcW w:type="dxa" w:w="248"/>
            <w:tcBorders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28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•</w:t>
            </w:r>
          </w:p>
          <w:p>
            <w:pPr>
              <w:autoSpaceDN w:val="0"/>
              <w:autoSpaceDE w:val="0"/>
              <w:widowControl/>
              <w:spacing w:line="240" w:lineRule="auto" w:before="1096" w:after="0"/>
              <w:ind w:left="28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•</w:t>
            </w:r>
          </w:p>
          <w:p>
            <w:pPr>
              <w:autoSpaceDN w:val="0"/>
              <w:autoSpaceDE w:val="0"/>
              <w:widowControl/>
              <w:spacing w:line="242" w:lineRule="auto" w:before="1092" w:after="0"/>
              <w:ind w:left="28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•</w:t>
            </w:r>
          </w:p>
          <w:p>
            <w:pPr>
              <w:autoSpaceDN w:val="0"/>
              <w:autoSpaceDE w:val="0"/>
              <w:widowControl/>
              <w:spacing w:line="240" w:lineRule="auto" w:before="1300" w:after="0"/>
              <w:ind w:left="28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•</w:t>
            </w:r>
          </w:p>
        </w:tc>
        <w:tc>
          <w:tcPr>
            <w:tcW w:type="dxa" w:w="8860"/>
            <w:tcBorders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138" w:right="2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1629A"/>
                <w:sz w:val="18"/>
              </w:rPr>
              <w:t xml:space="preserve">Improving business climate: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At the 12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th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WTO Ministerial Conference, the Joint Initiative on Services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Domestic Regulation will conclude negotiations on a set of good regulatory practices with a focus on procedural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aspects of licensing and authorization procedures for services suppliers. By enhancing the transparency,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efficiency, and predictability of regulatory systems, the disciplines on services domestic regulation that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Joint Initiative has negotiated will address the practical challenges that affect the ability of businesses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suppliers to operate. </w:t>
            </w:r>
          </w:p>
          <w:p>
            <w:pPr>
              <w:autoSpaceDN w:val="0"/>
              <w:autoSpaceDE w:val="0"/>
              <w:widowControl/>
              <w:spacing w:line="250" w:lineRule="auto" w:before="24" w:after="0"/>
              <w:ind w:left="138" w:right="4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1629A"/>
                <w:sz w:val="18"/>
              </w:rPr>
              <w:t xml:space="preserve">Facilitating services trade: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Building on efforts to identify and disseminate good regulatory practice, 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increasing number of "new generation" trade agreements have moved beyond the removal of quantitative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restrictions and discriminatory measures to include a comprehensive set of disciplines largely equivalent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those developed by the Joint Initiative. At the same time, economies at all levels of income have also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implemented reforms with a view to making their regulatory environment more trade facilitative for services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businesses. </w:t>
            </w:r>
          </w:p>
          <w:p>
            <w:pPr>
              <w:autoSpaceDN w:val="0"/>
              <w:autoSpaceDE w:val="0"/>
              <w:widowControl/>
              <w:spacing w:line="247" w:lineRule="auto" w:before="26" w:after="0"/>
              <w:ind w:left="138" w:right="4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1629A"/>
                <w:sz w:val="18"/>
              </w:rPr>
              <w:t>Lowering trade costs and generating broader trade benefits: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Through the full implementation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disciplines on services domestic regulation, economies can lower trade costs and reap substantial trade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benefits: annual trade cost savings could be in the range of USD 150 billion, with important gains in financial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services, business services, communications and transport services. Moreover, a positive correlation between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implementation of services domestic regulation measures and services trade by all four modes of supply,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as well as a more active engagement of economies in global value chains, hints to even broader economic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benefits. </w:t>
            </w:r>
          </w:p>
          <w:p>
            <w:pPr>
              <w:autoSpaceDN w:val="0"/>
              <w:autoSpaceDE w:val="0"/>
              <w:widowControl/>
              <w:spacing w:line="254" w:lineRule="auto" w:before="24" w:after="0"/>
              <w:ind w:left="140" w:right="4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1629A"/>
                <w:sz w:val="18"/>
              </w:rPr>
              <w:t xml:space="preserve">Widespread gains beyond participants: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Exporters from all WTO members will benefit from the improved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regulatory conditions when they trade with participants of the Joint Initiative. However, significantly larger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benefits will accrue to WTO members that are implementing the disciplines themselves in their internal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regulatory frameworks. </w:t>
            </w:r>
          </w:p>
        </w:tc>
      </w:tr>
    </w:tbl>
    <w:p>
      <w:pPr>
        <w:autoSpaceDN w:val="0"/>
        <w:autoSpaceDE w:val="0"/>
        <w:widowControl/>
        <w:spacing w:line="247" w:lineRule="auto" w:before="344" w:after="0"/>
        <w:ind w:left="28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Services are the most dynamic and fastest growing sector of today's global economy. They represent over 60% of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world GDP in value-added terms and more than 50% of employment worldwide. Services also provide critical inputs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to other sectors. For instance, transport, logistics, communications or financial services facilitate the functioning of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global value chains while research, development or engineering services foster productivity and innovation in all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economies. Thereby, services constitute a critical component of a sound, sustainable, and inclusive economic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recovery from the COVID-19 pandemic. </w:t>
      </w:r>
    </w:p>
    <w:p>
      <w:pPr>
        <w:autoSpaceDN w:val="0"/>
        <w:autoSpaceDE w:val="0"/>
        <w:widowControl/>
        <w:spacing w:line="247" w:lineRule="auto" w:before="202" w:after="0"/>
        <w:ind w:left="28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However, the ability of service suppliers to engage in trade and the potential of the services sector overall remains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constrained by a variety of trade barriers: the cost of trading services is twice as high as that of goods, and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regulation-related factors account for more than 40% of these costs (WTO World Trade Report, 2019). OECD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estimates suggest that the barriers recorded in the OECD Services Trade Restrictiveness Index (STRI) involve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average trade costs between 50% and 250% of export values (Benz &amp; Jaax, 2020). Among the obstacles, the lack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of transparency of laws and regulations, and pervasive procedural inefficiencies figure prominently. </w:t>
      </w:r>
    </w:p>
    <w:p>
      <w:pPr>
        <w:autoSpaceDN w:val="0"/>
        <w:autoSpaceDE w:val="0"/>
        <w:widowControl/>
        <w:spacing w:line="247" w:lineRule="auto" w:before="202" w:after="0"/>
        <w:ind w:left="28" w:right="22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In the services field, many activities require licenses or authorisations to operate. International discussions on </w:t>
      </w:r>
      <w:r>
        <w:rPr>
          <w:rFonts w:ascii="ArialMT" w:hAnsi="ArialMT" w:eastAsia="ArialMT"/>
          <w:b w:val="0"/>
          <w:i w:val="0"/>
          <w:color w:val="000000"/>
          <w:sz w:val="18"/>
        </w:rPr>
        <w:t>services domestic regul</w:t>
      </w:r>
      <w:r>
        <w:rPr>
          <w:rFonts w:ascii="ArialMT" w:hAnsi="ArialMT" w:eastAsia="ArialMT"/>
          <w:b w:val="0"/>
          <w:i w:val="0"/>
          <w:color w:val="000000"/>
          <w:sz w:val="18"/>
        </w:rPr>
        <w:hyperlink r:id="rId13" w:history="1">
          <w:r>
            <w:rPr>
              <w:rStyle w:val="Hyperlink"/>
            </w:rPr>
            <w:t>ation aim to facilitate trade in services by eliminati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ng the unintended trade-restrictive effects </w:t>
      </w:r>
      <w:r>
        <w:rPr>
          <w:rFonts w:ascii="ArialMT" w:hAnsi="ArialMT" w:eastAsia="ArialMT"/>
          <w:b w:val="0"/>
          <w:i w:val="0"/>
          <w:color w:val="000000"/>
          <w:sz w:val="18"/>
        </w:rPr>
        <w:t>of such measures. The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</w:t>
      </w:r>
      <w:r>
        <w:rPr>
          <w:rFonts w:ascii="ArialMT" w:hAnsi="ArialMT" w:eastAsia="ArialMT"/>
          <w:b w:val="0"/>
          <w:i w:val="0"/>
          <w:color w:val="0000FF"/>
          <w:sz w:val="18"/>
          <w:u w:val="single"/>
        </w:rPr>
        <w:hyperlink r:id="rId13" w:history="1">
          <w:r>
            <w:rPr>
              <w:rStyle w:val="Hyperlink"/>
            </w:rPr>
            <w:t>Joint Initiative on Services Domestic Regulation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</w:t>
      </w:r>
      <w:r>
        <w:rPr>
          <w:rFonts w:ascii="ArialMT" w:hAnsi="ArialMT" w:eastAsia="ArialMT"/>
          <w:b w:val="0"/>
          <w:i w:val="0"/>
          <w:color w:val="000000"/>
          <w:sz w:val="18"/>
        </w:rPr>
        <w:t>will conclude at the 12</w:t>
      </w:r>
      <w:r>
        <w:rPr>
          <w:rFonts w:ascii="ArialMT" w:hAnsi="ArialMT" w:eastAsia="ArialMT"/>
          <w:b w:val="0"/>
          <w:i w:val="0"/>
          <w:color w:val="000000"/>
          <w:sz w:val="12"/>
        </w:rPr>
        <w:t>th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WTO Ministerial </w:t>
      </w:r>
      <w:r>
        <w:rPr>
          <w:rFonts w:ascii="ArialMT" w:hAnsi="ArialMT" w:eastAsia="ArialMT"/>
          <w:b w:val="0"/>
          <w:i w:val="0"/>
          <w:color w:val="000000"/>
          <w:sz w:val="18"/>
        </w:rPr>
        <w:t>Conference negotiatio</w:t>
      </w:r>
      <w:r>
        <w:rPr>
          <w:rFonts w:ascii="ArialMT" w:hAnsi="ArialMT" w:eastAsia="ArialMT"/>
          <w:b w:val="0"/>
          <w:i w:val="0"/>
          <w:color w:val="000000"/>
          <w:sz w:val="18"/>
        </w:rPr>
        <w:hyperlink r:id="rId13" w:history="1">
          <w:r>
            <w:rPr>
              <w:rStyle w:val="Hyperlink"/>
            </w:rPr>
            <w:t>n</w:t>
          </w:r>
        </w:hyperlink>
      </w:r>
      <w:r>
        <w:rPr>
          <w:u w:val="single" w:color="0000ff"/>
          <w:rFonts w:ascii="ArialMT" w:hAnsi="ArialMT" w:eastAsia="ArialMT"/>
          <w:b w:val="0"/>
          <w:i w:val="0"/>
          <w:color w:val="000000"/>
          <w:sz w:val="18"/>
        </w:rPr>
        <w:hyperlink r:id="rId13" w:history="1">
          <w:r>
            <w:rPr>
              <w:rStyle w:val="Hyperlink"/>
            </w:rPr>
            <w:t xml:space="preserve">s on a set of good regulatory practices to 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enhance </w:t>
      </w:r>
      <w:r>
        <w:rPr>
          <w:rFonts w:ascii="ArialMT" w:hAnsi="ArialMT" w:eastAsia="ArialMT"/>
          <w:b w:val="0"/>
          <w:i w:val="0"/>
          <w:color w:val="000000"/>
          <w:sz w:val="18"/>
        </w:rPr>
        <w:hyperlink r:id="rId14" w:history="1">
          <w:r>
            <w:rPr>
              <w:rStyle w:val="Hyperlink"/>
            </w:rPr>
            <w:t xml:space="preserve">transparency, efficiency, and 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hyperlink r:id="rId14" w:history="1">
          <w:r>
            <w:rPr>
              <w:rStyle w:val="Hyperlink"/>
            </w:rPr>
            <w:t>predictability of regula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tory systems to obtain authorization to supply services - the </w:t>
      </w:r>
      <w:r>
        <w:rPr>
          <w:rFonts w:ascii="ArialMT" w:hAnsi="ArialMT" w:eastAsia="ArialMT"/>
          <w:b w:val="0"/>
          <w:i w:val="0"/>
          <w:color w:val="000000"/>
          <w:sz w:val="18"/>
        </w:rPr>
        <w:hyperlink r:id="rId14" w:history="1">
          <w:r>
            <w:rPr>
              <w:rStyle w:val="Hyperlink"/>
            </w:rPr>
            <w:t>"</w:t>
          </w:r>
        </w:hyperlink>
      </w:r>
      <w:r>
        <w:rPr>
          <w:rFonts w:ascii="ArialMT" w:hAnsi="ArialMT" w:eastAsia="ArialMT"/>
          <w:b w:val="0"/>
          <w:i w:val="0"/>
          <w:color w:val="0000FF"/>
          <w:sz w:val="18"/>
          <w:u w:val="single"/>
        </w:rPr>
        <w:hyperlink r:id="rId14" w:history="1">
          <w:r>
            <w:rPr>
              <w:rStyle w:val="Hyperlink"/>
            </w:rPr>
            <w:t>Reference Paper on Services</w:t>
          </w:r>
        </w:hyperlink>
      </w:r>
      <w:r>
        <w:rPr>
          <w:rFonts w:ascii="ArialMT" w:hAnsi="ArialMT" w:eastAsia="ArialMT"/>
          <w:b w:val="0"/>
          <w:i w:val="0"/>
          <w:color w:val="0000FF"/>
          <w:sz w:val="18"/>
        </w:rPr>
        <w:t xml:space="preserve"> </w:t>
      </w:r>
      <w:r>
        <w:rPr>
          <w:rFonts w:ascii="ArialMT" w:hAnsi="ArialMT" w:eastAsia="ArialMT"/>
          <w:b w:val="0"/>
          <w:i w:val="0"/>
          <w:color w:val="0000FF"/>
          <w:sz w:val="18"/>
          <w:u w:val="single"/>
        </w:rPr>
        <w:hyperlink r:id="rId14" w:history="1">
          <w:r>
            <w:rPr>
              <w:rStyle w:val="Hyperlink"/>
            </w:rPr>
            <w:t>Domestic Regulation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hyperlink r:id="rId14" w:history="1">
          <w:r>
            <w:rPr>
              <w:rStyle w:val="Hyperlink"/>
            </w:rPr>
            <w:t>"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t>. Sixty-six WTO members are currently participating in this p</w:t>
      </w:r>
      <w:r>
        <w:rPr>
          <w:rFonts w:ascii="ArialMT" w:hAnsi="ArialMT" w:eastAsia="ArialMT"/>
          <w:b w:val="0"/>
          <w:i w:val="0"/>
          <w:color w:val="000000"/>
          <w:sz w:val="18"/>
        </w:rPr>
        <w:hyperlink r:id="rId14" w:history="1">
          <w:r>
            <w:rPr>
              <w:rStyle w:val="Hyperlink"/>
            </w:rPr>
            <w:t>l</w:t>
          </w:r>
        </w:hyperlink>
      </w:r>
      <w:r>
        <w:rPr>
          <w:u w:val="single" w:color="0000ff"/>
          <w:rFonts w:ascii="ArialMT" w:hAnsi="ArialMT" w:eastAsia="ArialMT"/>
          <w:b w:val="0"/>
          <w:i w:val="0"/>
          <w:color w:val="000000"/>
          <w:sz w:val="18"/>
        </w:rPr>
        <w:hyperlink r:id="rId14" w:history="1">
          <w:r>
            <w:rPr>
              <w:rStyle w:val="Hyperlink"/>
            </w:rPr>
            <w:t>urilateral negotiating process,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</w:t>
      </w:r>
      <w:r>
        <w:rPr>
          <w:u w:val="single" w:color="0000ff"/>
          <w:rFonts w:ascii="ArialMT" w:hAnsi="ArialMT" w:eastAsia="ArialMT"/>
          <w:b w:val="0"/>
          <w:i w:val="0"/>
          <w:color w:val="000000"/>
          <w:sz w:val="18"/>
        </w:rPr>
        <w:hyperlink r:id="rId14" w:history="1">
          <w:r>
            <w:rPr>
              <w:rStyle w:val="Hyperlink"/>
            </w:rPr>
            <w:t>covering more than 9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0% of world services trade. </w:t>
      </w:r>
    </w:p>
    <w:p>
      <w:pPr>
        <w:autoSpaceDN w:val="0"/>
        <w:autoSpaceDE w:val="0"/>
        <w:widowControl/>
        <w:spacing w:line="247" w:lineRule="auto" w:before="200" w:after="0"/>
        <w:ind w:left="28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The disciplines on services domestic regulation (SDR disciplines) that the Joint Initiative has agreed build upon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three core principles: (i) </w:t>
      </w:r>
      <w:r>
        <w:rPr>
          <w:rFonts w:ascii="Arial" w:hAnsi="Arial" w:eastAsia="Arial"/>
          <w:b/>
          <w:i w:val="0"/>
          <w:color w:val="000000"/>
          <w:sz w:val="18"/>
        </w:rPr>
        <w:t>transparency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, namely measures aimed at promoting prompt publication and availability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of information relevant to service suppliers and their engagement in regulatory decision-making processes; (ii) </w:t>
      </w:r>
      <w:r>
        <w:rPr>
          <w:rFonts w:ascii="Arial" w:hAnsi="Arial" w:eastAsia="Arial"/>
          <w:b/>
          <w:i w:val="0"/>
          <w:color w:val="000000"/>
          <w:sz w:val="18"/>
        </w:rPr>
        <w:t>legal certainty and predictability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, namely measures aimed at ensuring regulatory and procedural guarantees to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be followed by competent authorities when dealing with applications for authorization to supply services; (iii) </w:t>
      </w:r>
      <w:r>
        <w:rPr>
          <w:rFonts w:ascii="Arial" w:hAnsi="Arial" w:eastAsia="Arial"/>
          <w:b/>
          <w:i w:val="0"/>
          <w:color w:val="000000"/>
          <w:sz w:val="18"/>
        </w:rPr>
        <w:t>regulatory quality and facilitation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, namely measures aimed at disseminating good regulatory practices to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facilitate services suppliers' ability to trade. </w:t>
      </w:r>
    </w:p>
    <w:p>
      <w:pPr>
        <w:autoSpaceDN w:val="0"/>
        <w:autoSpaceDE w:val="0"/>
        <w:widowControl/>
        <w:spacing w:line="298" w:lineRule="auto" w:before="534" w:after="0"/>
        <w:ind w:left="0" w:right="70" w:firstLine="0"/>
        <w:jc w:val="right"/>
      </w:pPr>
      <w:r>
        <w:rPr>
          <w:rFonts w:ascii="ArialMT" w:hAnsi="ArialMT" w:eastAsia="ArialMT"/>
          <w:b w:val="0"/>
          <w:i w:val="0"/>
          <w:color w:val="404040"/>
          <w:sz w:val="16"/>
        </w:rPr>
        <w:t xml:space="preserve">OECD-WTO Trade Policy Brief  |  </w:t>
      </w:r>
      <w:r>
        <w:rPr>
          <w:rFonts w:ascii="Arial" w:hAnsi="Arial" w:eastAsia="Arial"/>
          <w:b/>
          <w:i w:val="0"/>
          <w:color w:val="404040"/>
          <w:sz w:val="16"/>
        </w:rPr>
        <w:t>1</w:t>
      </w:r>
    </w:p>
    <w:p>
      <w:pPr>
        <w:sectPr>
          <w:pgSz w:w="11906" w:h="16838"/>
          <w:pgMar w:top="324" w:right="1368" w:bottom="35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4562"/>
        <w:gridCol w:w="4562"/>
      </w:tblGrid>
      <w:tr>
        <w:trPr>
          <w:trHeight w:hRule="exact" w:val="740"/>
        </w:trPr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452880" cy="431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880" cy="431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6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63980" cy="32639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980" cy="326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9124"/>
      </w:tblGrid>
      <w:tr>
        <w:trPr>
          <w:trHeight w:hRule="exact" w:val="10574"/>
        </w:trPr>
        <w:tc>
          <w:tcPr>
            <w:tcW w:type="dxa" w:w="9000"/>
            <w:tcBorders>
              <w:start w:sz="12.0" w:val="single" w:color="#A5A6A5"/>
              <w:top w:sz="12.0" w:val="single" w:color="#A5A6A5"/>
              <w:end w:sz="12.0" w:val="single" w:color="#A5A6A5"/>
              <w:bottom w:sz="12.0" w:val="single" w:color="#A5A6A5"/>
            </w:tcBorders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27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1629A"/>
                <w:sz w:val="22"/>
              </w:rPr>
              <w:t xml:space="preserve">The disciplines on services domestic regulation – in brief </w:t>
            </w:r>
          </w:p>
          <w:p>
            <w:pPr>
              <w:autoSpaceDN w:val="0"/>
              <w:autoSpaceDE w:val="0"/>
              <w:widowControl/>
              <w:spacing w:line="300" w:lineRule="auto" w:before="180" w:after="44"/>
              <w:ind w:left="27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Transparency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0.0" w:type="dxa"/>
            </w:tblPr>
            <w:tblGrid>
              <w:gridCol w:w="4500"/>
              <w:gridCol w:w="4500"/>
            </w:tblGrid>
            <w:tr>
              <w:trPr>
                <w:trHeight w:hRule="exact" w:val="1322"/>
              </w:trPr>
              <w:tc>
                <w:tcPr>
                  <w:tcW w:type="dxa" w:w="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8" w:lineRule="auto" w:before="50" w:after="0"/>
                    <w:ind w:left="148" w:right="90" w:firstLine="0"/>
                    <w:jc w:val="both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</w:p>
              </w:tc>
              <w:tc>
                <w:tcPr>
                  <w:tcW w:type="dxa" w:w="8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44" w:after="0"/>
                    <w:ind w:left="11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Publish and make available information required to comply with requirements and procedures for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authorization, including through electronic means; </w:t>
                  </w:r>
                </w:p>
                <w:p>
                  <w:pPr>
                    <w:autoSpaceDN w:val="0"/>
                    <w:autoSpaceDE w:val="0"/>
                    <w:widowControl/>
                    <w:spacing w:line="286" w:lineRule="auto" w:before="34" w:after="0"/>
                    <w:ind w:left="11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Establish appropriate mechanisms for responding to enquiries from service suppliers; </w:t>
                  </w:r>
                </w:p>
                <w:p>
                  <w:pPr>
                    <w:autoSpaceDN w:val="0"/>
                    <w:autoSpaceDE w:val="0"/>
                    <w:widowControl/>
                    <w:spacing w:line="262" w:lineRule="auto" w:before="32" w:after="0"/>
                    <w:ind w:left="11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Engage stakeholders by publishing proposed laws and regulations, providing opportunity for comments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from interested persons, and considering comments received.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0" w:lineRule="auto" w:before="136" w:after="44"/>
              <w:ind w:left="27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Legal certainty and predictability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0.0" w:type="dxa"/>
            </w:tblPr>
            <w:tblGrid>
              <w:gridCol w:w="4500"/>
              <w:gridCol w:w="4500"/>
            </w:tblGrid>
            <w:tr>
              <w:trPr>
                <w:trHeight w:hRule="exact" w:val="2716"/>
              </w:trPr>
              <w:tc>
                <w:tcPr>
                  <w:tcW w:type="dxa" w:w="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50" w:after="0"/>
                    <w:ind w:left="148" w:right="90" w:firstLine="0"/>
                    <w:jc w:val="both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</w:p>
                <w:p>
                  <w:pPr>
                    <w:autoSpaceDN w:val="0"/>
                    <w:autoSpaceDE w:val="0"/>
                    <w:widowControl/>
                    <w:spacing w:line="283" w:lineRule="auto" w:before="264" w:after="0"/>
                    <w:ind w:left="146" w:right="90" w:firstLine="0"/>
                    <w:jc w:val="both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</w:p>
                <w:p>
                  <w:pPr>
                    <w:autoSpaceDN w:val="0"/>
                    <w:autoSpaceDE w:val="0"/>
                    <w:widowControl/>
                    <w:spacing w:line="242" w:lineRule="auto" w:before="264" w:after="0"/>
                    <w:ind w:left="0" w:right="0" w:firstLine="0"/>
                    <w:jc w:val="center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</w:p>
              </w:tc>
              <w:tc>
                <w:tcPr>
                  <w:tcW w:type="dxa" w:w="8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auto" w:before="44" w:after="0"/>
                    <w:ind w:left="112" w:right="0" w:firstLine="2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Establish indicative timeframes for processing applications;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Process applications in a timely manner;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Provide information on the status of applications;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Allow applicants to correct minor deficiencies in incomplete applications and identify additional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information required;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Inform applicants of reasons for rejection of applications and allow resubmission;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Allow authorization once granted to enter into effect without undue delay;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Allow reasonable time between publication of laws and regulations and date of required compliance by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service suppliers;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Hold examinations at reasonably frequent intervals.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0" w:lineRule="auto" w:before="136" w:after="44"/>
              <w:ind w:left="27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Regulatory quality and facilitation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0.0" w:type="dxa"/>
            </w:tblPr>
            <w:tblGrid>
              <w:gridCol w:w="4500"/>
              <w:gridCol w:w="4500"/>
            </w:tblGrid>
            <w:tr>
              <w:trPr>
                <w:trHeight w:hRule="exact" w:val="4156"/>
              </w:trPr>
              <w:tc>
                <w:tcPr>
                  <w:tcW w:type="dxa" w:w="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1" w:lineRule="auto" w:before="50" w:after="0"/>
                    <w:ind w:left="144" w:right="0" w:firstLine="0"/>
                    <w:jc w:val="center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</w:p>
                <w:p>
                  <w:pPr>
                    <w:autoSpaceDN w:val="0"/>
                    <w:autoSpaceDE w:val="0"/>
                    <w:widowControl/>
                    <w:spacing w:line="271" w:lineRule="auto" w:before="268" w:after="0"/>
                    <w:ind w:left="144" w:right="0" w:firstLine="0"/>
                    <w:jc w:val="center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268" w:after="0"/>
                    <w:ind w:left="0" w:right="0" w:firstLine="0"/>
                    <w:jc w:val="center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264" w:after="0"/>
                    <w:ind w:left="0" w:right="0" w:firstLine="0"/>
                    <w:jc w:val="center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</w:p>
                <w:p>
                  <w:pPr>
                    <w:autoSpaceDN w:val="0"/>
                    <w:autoSpaceDE w:val="0"/>
                    <w:widowControl/>
                    <w:spacing w:line="288" w:lineRule="auto" w:before="268" w:after="0"/>
                    <w:ind w:left="144" w:right="92" w:firstLine="2"/>
                    <w:jc w:val="both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264" w:after="0"/>
                    <w:ind w:left="0" w:right="0" w:firstLine="0"/>
                    <w:jc w:val="center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</w:p>
              </w:tc>
              <w:tc>
                <w:tcPr>
                  <w:tcW w:type="dxa" w:w="8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4" w:after="0"/>
                    <w:ind w:left="110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Require applicants to approach only one competent authority to obtain authorization;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Permit submission of applications at any time throughout the year, or at least, allow reasonable periods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of time for submission;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Accept electronic applications and authenticated copies of documents;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Ensure that authorization fees are reasonable, transparent, and do not in themselves restrict the supply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of service;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Support professional bodies wishing to establish dialogues on issues relating to recognition of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professional qualifications;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Ensure that competent authorities reach their decisions in a manner independent from services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suppliers;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Consolidate relevant information on a single online dedicated portal;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Develop technical standards through open and transparent processes;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Base measures relating to authorization on objective and transparent criteria;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Ensure that procedures are impartial, adequate and do not unjustifiably prevent fulfilment of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authorization requirements;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Ensure that authorization measures do not discriminate between men and women.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52" w:lineRule="auto" w:before="372" w:after="0"/>
        <w:ind w:left="28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The SDR disciplines closely resonate with work that several international economic fora, such as the OECD, the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World Bank, and APEC, have undertaken on good regulatory practices. While such initiatives generally look beyond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the services trade field, they share a common goal – to address the practical challenges that affect the ability of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businesses to operate and make regulatory environments more conducive to trade. </w:t>
      </w:r>
    </w:p>
    <w:p>
      <w:pPr>
        <w:autoSpaceDN w:val="0"/>
        <w:autoSpaceDE w:val="0"/>
        <w:widowControl/>
        <w:spacing w:line="247" w:lineRule="auto" w:before="170" w:after="0"/>
        <w:ind w:left="28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Over the past years, many economies have introduced broad internal regulatory reforms to streamline their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regulations in services sectors and signal their commitment to good regulatory practices to any interested – foreign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or domestic – suppliers. The OECD STRI database records 56 of such liberalising policy changes related to the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SDR disciplines between 2014 and 2020 (Figure 1). Most of these policy reforms are of horizontal nature, affecting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a large number of sectors. Financial services stand out with the greatest sector-specific efforts towards more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efficient services regulation. </w:t>
      </w:r>
    </w:p>
    <w:p>
      <w:pPr>
        <w:autoSpaceDN w:val="0"/>
        <w:autoSpaceDE w:val="0"/>
        <w:widowControl/>
        <w:spacing w:line="298" w:lineRule="auto" w:before="932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404040"/>
          <w:sz w:val="16"/>
        </w:rPr>
        <w:t>2</w:t>
      </w:r>
      <w:r>
        <w:rPr>
          <w:rFonts w:ascii="ArialMT" w:hAnsi="ArialMT" w:eastAsia="ArialMT"/>
          <w:b w:val="0"/>
          <w:i w:val="0"/>
          <w:color w:val="404040"/>
          <w:sz w:val="16"/>
        </w:rPr>
        <w:t xml:space="preserve">  |  OECD-WTO Trade Policy Brief </w:t>
      </w:r>
    </w:p>
    <w:p>
      <w:pPr>
        <w:sectPr>
          <w:pgSz w:w="11906" w:h="16838"/>
          <w:pgMar w:top="360" w:right="1370" w:bottom="35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1282700</wp:posOffset>
            </wp:positionV>
            <wp:extent cx="5765800" cy="35560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556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6868" w:val="left"/>
        </w:tabs>
        <w:autoSpaceDE w:val="0"/>
        <w:widowControl/>
        <w:spacing w:line="240" w:lineRule="auto" w:before="0" w:after="0"/>
        <w:ind w:left="419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54150" cy="431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431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388109" cy="32385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8109" cy="323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0" w:lineRule="auto" w:before="346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18"/>
        </w:rPr>
        <w:t xml:space="preserve">Figure 1: Number of liberalising policy reforms related to SDR disciplines between 2014-2020 </w:t>
      </w:r>
    </w:p>
    <w:p>
      <w:pPr>
        <w:autoSpaceDN w:val="0"/>
        <w:autoSpaceDE w:val="0"/>
        <w:widowControl/>
        <w:spacing w:line="286" w:lineRule="auto" w:before="68" w:after="0"/>
        <w:ind w:left="15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30</w:t>
      </w:r>
    </w:p>
    <w:p>
      <w:pPr>
        <w:autoSpaceDN w:val="0"/>
        <w:autoSpaceDE w:val="0"/>
        <w:widowControl/>
        <w:spacing w:line="283" w:lineRule="auto" w:before="466" w:after="0"/>
        <w:ind w:left="15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25</w:t>
      </w:r>
    </w:p>
    <w:p>
      <w:pPr>
        <w:autoSpaceDN w:val="0"/>
        <w:autoSpaceDE w:val="0"/>
        <w:widowControl/>
        <w:spacing w:line="286" w:lineRule="auto" w:before="466" w:after="0"/>
        <w:ind w:left="15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20</w:t>
      </w:r>
    </w:p>
    <w:p>
      <w:pPr>
        <w:autoSpaceDN w:val="0"/>
        <w:autoSpaceDE w:val="0"/>
        <w:widowControl/>
        <w:spacing w:line="286" w:lineRule="auto" w:before="464" w:after="0"/>
        <w:ind w:left="15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15</w:t>
      </w:r>
    </w:p>
    <w:p>
      <w:pPr>
        <w:autoSpaceDN w:val="0"/>
        <w:autoSpaceDE w:val="0"/>
        <w:widowControl/>
        <w:spacing w:line="286" w:lineRule="auto" w:before="466" w:after="0"/>
        <w:ind w:left="15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10</w:t>
      </w:r>
    </w:p>
    <w:p>
      <w:pPr>
        <w:autoSpaceDN w:val="0"/>
        <w:autoSpaceDE w:val="0"/>
        <w:widowControl/>
        <w:spacing w:line="286" w:lineRule="auto" w:before="464" w:after="0"/>
        <w:ind w:left="24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5</w:t>
      </w:r>
    </w:p>
    <w:p>
      <w:pPr>
        <w:autoSpaceDN w:val="0"/>
        <w:autoSpaceDE w:val="0"/>
        <w:widowControl/>
        <w:spacing w:line="286" w:lineRule="auto" w:before="466" w:after="0"/>
        <w:ind w:left="24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0</w:t>
      </w:r>
    </w:p>
    <w:p>
      <w:pPr>
        <w:autoSpaceDN w:val="0"/>
        <w:autoSpaceDE w:val="0"/>
        <w:widowControl/>
        <w:spacing w:line="247" w:lineRule="auto" w:before="1380" w:after="0"/>
        <w:ind w:left="28" w:right="28" w:firstLine="0"/>
        <w:jc w:val="both"/>
      </w:pPr>
      <w:r>
        <w:rPr>
          <w:rFonts w:ascii="Arial" w:hAnsi="Arial" w:eastAsia="Arial"/>
          <w:b w:val="0"/>
          <w:i/>
          <w:color w:val="000000"/>
          <w:sz w:val="16"/>
        </w:rPr>
        <w:t>Note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: Sum over 52 SDR JI participants for which OECD STRI data are available. The OECD STRI database records applied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regulations across 56 economies and 22 sectors, covering several disciplines included in the Reference Paper on Services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Domestic Regulation. Inter alia, these include transparency in the rule-making process, administrative and procedural hurdles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related to registering companies, as well as licensing and authorization requirements across different sectors, including some </w:t>
      </w:r>
      <w:r>
        <w:rPr>
          <w:rFonts w:ascii="ArialMT" w:hAnsi="ArialMT" w:eastAsia="ArialMT"/>
          <w:b w:val="0"/>
          <w:i w:val="0"/>
          <w:color w:val="000000"/>
          <w:sz w:val="16"/>
        </w:rPr>
        <w:t>prof</w:t>
      </w:r>
      <w:r>
        <w:rPr>
          <w:rFonts w:ascii="ArialMT" w:hAnsi="ArialMT" w:eastAsia="ArialMT"/>
          <w:b w:val="0"/>
          <w:i w:val="0"/>
          <w:color w:val="000000"/>
          <w:sz w:val="16"/>
        </w:rPr>
        <w:hyperlink r:id="rId17" w:history="1">
          <w:r>
            <w:rPr>
              <w:rStyle w:val="Hyperlink"/>
            </w:rPr>
            <w:t>essional service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 such as legal, accounting, architecture and engineering service (for further details on the STRI measures, </w:t>
      </w:r>
      <w:r>
        <w:rPr>
          <w:rFonts w:ascii="ArialMT" w:hAnsi="ArialMT" w:eastAsia="ArialMT"/>
          <w:b w:val="0"/>
          <w:i w:val="0"/>
          <w:color w:val="000000"/>
          <w:sz w:val="16"/>
        </w:rPr>
        <w:t>see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</w:t>
      </w:r>
      <w:r>
        <w:rPr>
          <w:rFonts w:ascii="ArialMT" w:hAnsi="ArialMT" w:eastAsia="ArialMT"/>
          <w:b w:val="0"/>
          <w:i w:val="0"/>
          <w:color w:val="0000FF"/>
          <w:sz w:val="16"/>
          <w:u w:val="single"/>
        </w:rPr>
        <w:hyperlink r:id="rId17" w:history="1">
          <w:r>
            <w:rPr>
              <w:rStyle w:val="Hyperlink"/>
            </w:rPr>
            <w:t>http://oe.cd/stri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6"/>
        </w:rPr>
        <w:hyperlink r:id="rId17" w:history="1">
          <w:r>
            <w:rPr>
              <w:rStyle w:val="Hyperlink"/>
            </w:rPr>
            <w:t>)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. </w:t>
      </w:r>
    </w:p>
    <w:p>
      <w:pPr>
        <w:autoSpaceDN w:val="0"/>
        <w:autoSpaceDE w:val="0"/>
        <w:widowControl/>
        <w:spacing w:line="286" w:lineRule="auto" w:before="0" w:after="0"/>
        <w:ind w:left="28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6"/>
        </w:rPr>
        <w:t>Sou</w:t>
      </w:r>
      <w:r>
        <w:rPr>
          <w:rFonts w:ascii="Arial" w:hAnsi="Arial" w:eastAsia="Arial"/>
          <w:b w:val="0"/>
          <w:i/>
          <w:color w:val="000000"/>
          <w:sz w:val="16"/>
        </w:rPr>
        <w:hyperlink r:id="rId17" w:history="1">
          <w:r>
            <w:rPr>
              <w:rStyle w:val="Hyperlink"/>
            </w:rPr>
            <w:t>rce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6"/>
        </w:rPr>
        <w:hyperlink r:id="rId17" w:history="1">
          <w:r>
            <w:rPr>
              <w:rStyle w:val="Hyperlink"/>
            </w:rPr>
            <w:t>: OECD STR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I database. </w:t>
      </w:r>
    </w:p>
    <w:p>
      <w:pPr>
        <w:autoSpaceDN w:val="0"/>
        <w:autoSpaceDE w:val="0"/>
        <w:widowControl/>
        <w:spacing w:line="247" w:lineRule="auto" w:before="324" w:after="0"/>
        <w:ind w:left="28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At the same time, good regulatory practices have also progressively found their way into bilateral and regional "new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generation" trade agreements, with a view to ensuring the effectiveness of liberalization commitments in services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markets. An increasing number of WTO members – 82 WTO members by 2010, 98 WTO members by 2015, and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112 WTO members by 2020 – have concluded at least one trade agreement with GATS-plus regulatory obligations.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Among them, some 40 WTO members have concluded by now at least one agreement that reflects almost entirely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the full set of SDR disciplines of the Reference Paper agreed upon by the Joint Initiative. </w:t>
      </w:r>
    </w:p>
    <w:p>
      <w:pPr>
        <w:autoSpaceDN w:val="0"/>
        <w:autoSpaceDE w:val="0"/>
        <w:widowControl/>
        <w:spacing w:line="298" w:lineRule="auto" w:before="308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1629A"/>
          <w:sz w:val="22"/>
        </w:rPr>
        <w:t xml:space="preserve">Lowering trade costs through services domestic regulation implementation </w:t>
      </w:r>
    </w:p>
    <w:p>
      <w:pPr>
        <w:autoSpaceDN w:val="0"/>
        <w:autoSpaceDE w:val="0"/>
        <w:widowControl/>
        <w:spacing w:line="245" w:lineRule="auto" w:before="188" w:after="0"/>
        <w:ind w:left="28" w:right="22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Despite the increasing awareness of good regulatory practices for the smooth function of services markets, there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remains scope for further progress on streamlining domestic regulation of services sectors. This assessment is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based on a benchmarking of the various disciplines of the Joint Initiative against the database of the OECD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Services Trade Restrictiveness Index (STRI). Full implementation of the SDR disciplines would make an important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contribution to facilitate cross-border services trade. Benchmarking of SDR disciplines against the STRI database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shows that impediments to services trade could be lowered by 11% in the average across all economies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participating in the Joint Initiative for which data is available (Figure 2). Most barriers could be eliminated in sectors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such as computer services, commercial banking, and telecommunications services (all -16%), which are key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intermediate services contributing to all economic activities. Moreover, as most of these sectors are important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pillars of the digital economy, streamlining domestic regulations would also benefit digital trade. </w:t>
      </w:r>
    </w:p>
    <w:p>
      <w:pPr>
        <w:autoSpaceDN w:val="0"/>
        <w:autoSpaceDE w:val="0"/>
        <w:widowControl/>
        <w:spacing w:line="298" w:lineRule="auto" w:before="2348" w:after="0"/>
        <w:ind w:left="0" w:right="70" w:firstLine="0"/>
        <w:jc w:val="right"/>
      </w:pPr>
      <w:r>
        <w:rPr>
          <w:rFonts w:ascii="ArialMT" w:hAnsi="ArialMT" w:eastAsia="ArialMT"/>
          <w:b w:val="0"/>
          <w:i w:val="0"/>
          <w:color w:val="404040"/>
          <w:sz w:val="16"/>
        </w:rPr>
        <w:t xml:space="preserve">OECD-WTO Trade Policy Brief  |  </w:t>
      </w:r>
      <w:r>
        <w:rPr>
          <w:rFonts w:ascii="Arial" w:hAnsi="Arial" w:eastAsia="Arial"/>
          <w:b/>
          <w:i w:val="0"/>
          <w:color w:val="404040"/>
          <w:sz w:val="16"/>
        </w:rPr>
        <w:t>3</w:t>
      </w:r>
    </w:p>
    <w:p>
      <w:pPr>
        <w:sectPr>
          <w:pgSz w:w="11906" w:h="16838"/>
          <w:pgMar w:top="324" w:right="1368" w:bottom="35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tabs>
          <w:tab w:pos="2636" w:val="left"/>
        </w:tabs>
        <w:autoSpaceDE w:val="0"/>
        <w:widowControl/>
        <w:spacing w:line="240" w:lineRule="auto" w:before="0" w:after="0"/>
        <w:ind w:left="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52880" cy="431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2880" cy="431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363980" cy="32639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326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auto" w:before="274" w:after="176"/>
        <w:ind w:left="720" w:right="720" w:firstLine="0"/>
        <w:jc w:val="center"/>
      </w:pPr>
      <w:r>
        <w:rPr>
          <w:rFonts w:ascii="Arial" w:hAnsi="Arial" w:eastAsia="Arial"/>
          <w:b/>
          <w:i w:val="0"/>
          <w:color w:val="000000"/>
          <w:sz w:val="18"/>
        </w:rPr>
        <w:t xml:space="preserve">Figure 2: Streamlining SDR reduces barriers to services trade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Average percentage of decrease in STRI values resulting from removal of existing impediments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68.0" w:type="dxa"/>
      </w:tblPr>
      <w:tblGrid>
        <w:gridCol w:w="4563"/>
        <w:gridCol w:w="4563"/>
      </w:tblGrid>
      <w:tr>
        <w:trPr>
          <w:trHeight w:hRule="exact" w:val="306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60" w:after="0"/>
              <w:ind w:left="0" w:right="42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STRI reduction in %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60" w:after="0"/>
              <w:ind w:left="43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Average</w:t>
            </w:r>
          </w:p>
        </w:tc>
      </w:tr>
    </w:tbl>
    <w:p>
      <w:pPr>
        <w:autoSpaceDN w:val="0"/>
        <w:autoSpaceDE w:val="0"/>
        <w:widowControl/>
        <w:spacing w:line="286" w:lineRule="auto" w:before="18" w:after="0"/>
        <w:ind w:left="43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0%</w:t>
      </w:r>
    </w:p>
    <w:p>
      <w:pPr>
        <w:autoSpaceDN w:val="0"/>
        <w:autoSpaceDE w:val="0"/>
        <w:widowControl/>
        <w:spacing w:line="286" w:lineRule="auto" w:before="790" w:after="0"/>
        <w:ind w:left="37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-5%</w:t>
      </w:r>
    </w:p>
    <w:p>
      <w:pPr>
        <w:autoSpaceDN w:val="0"/>
        <w:autoSpaceDE w:val="0"/>
        <w:widowControl/>
        <w:spacing w:line="286" w:lineRule="auto" w:before="790" w:after="12"/>
        <w:ind w:left="29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-10%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2.0000000000002" w:type="dxa"/>
      </w:tblPr>
      <w:tblGrid>
        <w:gridCol w:w="3042"/>
        <w:gridCol w:w="3042"/>
        <w:gridCol w:w="3042"/>
      </w:tblGrid>
      <w:tr>
        <w:trPr>
          <w:trHeight w:hRule="exact" w:val="324"/>
        </w:trPr>
        <w:tc>
          <w:tcPr>
            <w:tcW w:type="dxa" w:w="5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381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8900" cy="381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33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381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86" w:lineRule="auto" w:before="454" w:after="0"/>
        <w:ind w:left="29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-15%</w:t>
      </w:r>
    </w:p>
    <w:p>
      <w:pPr>
        <w:autoSpaceDN w:val="0"/>
        <w:autoSpaceDE w:val="0"/>
        <w:widowControl/>
        <w:spacing w:line="286" w:lineRule="auto" w:before="790" w:after="0"/>
        <w:ind w:left="29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-20%</w:t>
      </w:r>
    </w:p>
    <w:p>
      <w:pPr>
        <w:autoSpaceDN w:val="0"/>
        <w:autoSpaceDE w:val="0"/>
        <w:widowControl/>
        <w:spacing w:line="240" w:lineRule="auto" w:before="26" w:after="0"/>
        <w:ind w:left="1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73700" cy="7366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736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4" w:lineRule="auto" w:before="568" w:after="0"/>
        <w:ind w:left="28" w:right="28" w:firstLine="0"/>
        <w:jc w:val="both"/>
      </w:pPr>
      <w:r>
        <w:rPr>
          <w:rFonts w:ascii="Arial" w:hAnsi="Arial" w:eastAsia="Arial"/>
          <w:b w:val="0"/>
          <w:i/>
          <w:color w:val="000000"/>
          <w:sz w:val="16"/>
        </w:rPr>
        <w:t>Note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: Simple average of 52 SDR JI participants for which OECD STRI data are available. Values of some sectors are based on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 smaller number of countries. Trade-weighted average of intra-EEA restrictiveness and MFN restrictiveness for EU members.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Trade data from the OECD-WTO Balanced Trade in Services dataset (BaTIS). </w:t>
      </w:r>
    </w:p>
    <w:p>
      <w:pPr>
        <w:autoSpaceDN w:val="0"/>
        <w:autoSpaceDE w:val="0"/>
        <w:widowControl/>
        <w:spacing w:line="286" w:lineRule="auto" w:before="0" w:after="0"/>
        <w:ind w:left="28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6"/>
        </w:rPr>
        <w:t>Source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: OECD calculations. </w:t>
      </w:r>
    </w:p>
    <w:p>
      <w:pPr>
        <w:autoSpaceDN w:val="0"/>
        <w:autoSpaceDE w:val="0"/>
        <w:widowControl/>
        <w:spacing w:line="247" w:lineRule="auto" w:before="324" w:after="0"/>
        <w:ind w:left="28" w:right="22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These reductions of services trade barriers highlight some of the challenges faced by services companies when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providing services to foreign jurisdictions. Streamlined regulations in services sectors could reduce the time and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cost required for dealing with administrative barriers and regulatory red tape. These cost savings can incentivise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new trade and new investment. They can also be passed on through lower prices to users of these services,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including consumers and businesses. While the exact distribution of cost savings is difficult to assess, it is possible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to quantify the magnitude of potential savings based on the current volume of services trade. </w:t>
      </w:r>
    </w:p>
    <w:p>
      <w:pPr>
        <w:autoSpaceDN w:val="0"/>
        <w:autoSpaceDE w:val="0"/>
        <w:widowControl/>
        <w:spacing w:line="245" w:lineRule="auto" w:before="202" w:after="0"/>
        <w:ind w:left="28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Annual services imports of all economies participating in the Joint Initiative are in the range of USD 3 trillion. More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than USD 2.6 trillion of these are between participating countries, while less than USD 400 billion correspond to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services imports from WTO members that are currently not participating in the negotiations. Based on the reduction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of services trade cost in individual sectors outlined above, annual trade cost savings on services trade between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the Joint Initiative's participants could be around USD 135 billion (calculations based on estimated ad valorem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equivalents of services trade barriers from Benz &amp; Jaax, 2020). Substantial benefits accrue in a number of sectors,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including financial services sector with USD 47 billion, business services with USD 36 billion, as well as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communications and transport services, with both around USD 20 billion (Figure 3). </w:t>
      </w:r>
    </w:p>
    <w:p>
      <w:pPr>
        <w:autoSpaceDN w:val="0"/>
        <w:autoSpaceDE w:val="0"/>
        <w:widowControl/>
        <w:spacing w:line="298" w:lineRule="auto" w:before="299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404040"/>
          <w:sz w:val="16"/>
        </w:rPr>
        <w:t>4</w:t>
      </w:r>
      <w:r>
        <w:rPr>
          <w:rFonts w:ascii="ArialMT" w:hAnsi="ArialMT" w:eastAsia="ArialMT"/>
          <w:b w:val="0"/>
          <w:i w:val="0"/>
          <w:color w:val="404040"/>
          <w:sz w:val="16"/>
        </w:rPr>
        <w:t xml:space="preserve">  |  OECD-WTO Trade Policy Brief </w:t>
      </w:r>
    </w:p>
    <w:p>
      <w:pPr>
        <w:sectPr>
          <w:pgSz w:w="11906" w:h="16838"/>
          <w:pgMar w:top="360" w:right="1368" w:bottom="35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4"/>
        <w:ind w:left="0" w:right="0"/>
      </w:pPr>
    </w:p>
    <w:p>
      <w:pPr>
        <w:autoSpaceDN w:val="0"/>
        <w:tabs>
          <w:tab w:pos="6868" w:val="left"/>
        </w:tabs>
        <w:autoSpaceDE w:val="0"/>
        <w:widowControl/>
        <w:spacing w:line="240" w:lineRule="auto" w:before="0" w:after="0"/>
        <w:ind w:left="419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54150" cy="431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431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388109" cy="32385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8109" cy="323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0" w:lineRule="auto" w:before="346" w:after="184"/>
        <w:ind w:left="119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 xml:space="preserve">Figure 3: Annual trade cost savings in five broad services sectors, billion USD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88.0" w:type="dxa"/>
      </w:tblPr>
      <w:tblGrid>
        <w:gridCol w:w="4624"/>
        <w:gridCol w:w="4624"/>
      </w:tblGrid>
      <w:tr>
        <w:trPr>
          <w:trHeight w:hRule="exact" w:val="320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60" w:after="0"/>
              <w:ind w:left="0" w:right="20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Between SDR JI participants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60" w:after="0"/>
              <w:ind w:left="22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With non-participants</w:t>
            </w:r>
          </w:p>
        </w:tc>
      </w:tr>
    </w:tbl>
    <w:p>
      <w:pPr>
        <w:autoSpaceDN w:val="0"/>
        <w:autoSpaceDE w:val="0"/>
        <w:widowControl/>
        <w:spacing w:line="286" w:lineRule="auto" w:before="32" w:after="0"/>
        <w:ind w:left="48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60</w:t>
      </w:r>
    </w:p>
    <w:p>
      <w:pPr>
        <w:autoSpaceDN w:val="0"/>
        <w:autoSpaceDE w:val="0"/>
        <w:widowControl/>
        <w:spacing w:line="286" w:lineRule="auto" w:before="522" w:after="88"/>
        <w:ind w:left="48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50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.000000000000114" w:type="dxa"/>
      </w:tblPr>
      <w:tblGrid>
        <w:gridCol w:w="4624"/>
        <w:gridCol w:w="4624"/>
      </w:tblGrid>
      <w:tr>
        <w:trPr>
          <w:trHeight w:hRule="exact" w:val="818"/>
        </w:trPr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6" w:lineRule="auto" w:before="54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 billion</w:t>
            </w:r>
          </w:p>
        </w:tc>
        <w:tc>
          <w:tcPr>
            <w:tcW w:type="dxa" w:w="484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436" w:after="0"/>
              <w:ind w:left="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40</w:t>
            </w:r>
          </w:p>
        </w:tc>
      </w:tr>
      <w:tr>
        <w:trPr>
          <w:trHeight w:hRule="exact" w:val="968"/>
        </w:trPr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6" w:lineRule="auto" w:before="5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savings in US</w:t>
            </w:r>
          </w:p>
        </w:tc>
        <w:tc>
          <w:tcPr>
            <w:tcW w:type="dxa" w:w="484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360" w:after="0"/>
              <w:ind w:left="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30</w:t>
            </w:r>
          </w:p>
        </w:tc>
      </w:tr>
      <w:tr>
        <w:trPr>
          <w:trHeight w:hRule="exact" w:val="828"/>
        </w:trPr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6" w:lineRule="auto" w:before="5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Trade cost</w:t>
            </w:r>
          </w:p>
        </w:tc>
        <w:tc>
          <w:tcPr>
            <w:tcW w:type="dxa" w:w="484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136" w:after="0"/>
              <w:ind w:left="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20</w:t>
            </w:r>
          </w:p>
        </w:tc>
      </w:tr>
    </w:tbl>
    <w:p>
      <w:pPr>
        <w:autoSpaceDN w:val="0"/>
        <w:autoSpaceDE w:val="0"/>
        <w:widowControl/>
        <w:spacing w:line="286" w:lineRule="auto" w:before="50" w:after="464"/>
        <w:ind w:left="48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10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8.0000000000001" w:type="dxa"/>
      </w:tblPr>
      <w:tblGrid>
        <w:gridCol w:w="1541"/>
        <w:gridCol w:w="1541"/>
        <w:gridCol w:w="1541"/>
        <w:gridCol w:w="1541"/>
        <w:gridCol w:w="1541"/>
        <w:gridCol w:w="1541"/>
      </w:tblGrid>
      <w:tr>
        <w:trPr>
          <w:trHeight w:hRule="exact" w:val="530"/>
        </w:trPr>
        <w:tc>
          <w:tcPr>
            <w:tcW w:type="dxa" w:w="10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60" w:after="0"/>
              <w:ind w:left="0" w:right="6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6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25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Transport</w:t>
            </w:r>
          </w:p>
        </w:tc>
        <w:tc>
          <w:tcPr>
            <w:tcW w:type="dxa" w:w="26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25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Insurance and pension</w:t>
            </w:r>
          </w:p>
        </w:tc>
        <w:tc>
          <w:tcPr>
            <w:tcW w:type="dxa" w:w="6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25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Finance</w:t>
            </w:r>
          </w:p>
        </w:tc>
        <w:tc>
          <w:tcPr>
            <w:tcW w:type="dxa" w:w="20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250" w:after="0"/>
              <w:ind w:left="0" w:right="18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Communications</w:t>
            </w:r>
          </w:p>
        </w:tc>
        <w:tc>
          <w:tcPr>
            <w:tcW w:type="dxa" w:w="1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25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Business services</w:t>
            </w:r>
          </w:p>
        </w:tc>
      </w:tr>
    </w:tbl>
    <w:p>
      <w:pPr>
        <w:autoSpaceDN w:val="0"/>
        <w:autoSpaceDE w:val="0"/>
        <w:widowControl/>
        <w:spacing w:line="254" w:lineRule="auto" w:before="134" w:after="0"/>
        <w:ind w:left="28" w:right="148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Note: Simple average of 52 SDR JI participants for which OECD STRI data are available. Values of some sectors are based on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 smaller number of countries. Trade-weighted average of intra-EEA restrictiveness and MFN restrictiveness for EU members.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Trade data from the OECD-WTO Balanced Trade in Services dataset (BaTIS). </w:t>
      </w:r>
    </w:p>
    <w:p>
      <w:pPr>
        <w:autoSpaceDN w:val="0"/>
        <w:autoSpaceDE w:val="0"/>
        <w:widowControl/>
        <w:spacing w:line="283" w:lineRule="auto" w:before="0" w:after="0"/>
        <w:ind w:left="2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Source: OECD calculations. </w:t>
      </w:r>
    </w:p>
    <w:p>
      <w:pPr>
        <w:autoSpaceDN w:val="0"/>
        <w:autoSpaceDE w:val="0"/>
        <w:widowControl/>
        <w:spacing w:line="250" w:lineRule="auto" w:before="326" w:after="0"/>
        <w:ind w:left="28" w:right="14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Additional trade cost savings may result from services exports of non-participants to participating economies. Due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to the MFN nature of the SDR disciplines, exporters from all WTO members will benefit from higher transparency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and predictability of authorisation and licensing processes, including exporters from economies not participating in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the Joint Initiative. Total trade cost savings from these trade flows are around USD 17 billion, which are divided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relatively equally across the five sectors. </w:t>
      </w:r>
    </w:p>
    <w:p>
      <w:pPr>
        <w:autoSpaceDN w:val="0"/>
        <w:autoSpaceDE w:val="0"/>
        <w:widowControl/>
        <w:spacing w:line="298" w:lineRule="auto" w:before="308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1629A"/>
          <w:sz w:val="22"/>
        </w:rPr>
        <w:t xml:space="preserve">Broader trade benefits of implementing services domestic regulation </w:t>
      </w:r>
    </w:p>
    <w:p>
      <w:pPr>
        <w:autoSpaceDN w:val="0"/>
        <w:autoSpaceDE w:val="0"/>
        <w:widowControl/>
        <w:spacing w:line="262" w:lineRule="auto" w:before="188" w:after="0"/>
        <w:ind w:left="28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Besides significant trade costs savings, the implementation of SDR disciplines can bring broader economic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benefits, including an increase in services trade and enhanced participation in global value chains (GVCs). </w:t>
      </w:r>
    </w:p>
    <w:p>
      <w:pPr>
        <w:autoSpaceDN w:val="0"/>
        <w:autoSpaceDE w:val="0"/>
        <w:widowControl/>
        <w:spacing w:line="252" w:lineRule="auto" w:before="170" w:after="0"/>
        <w:ind w:left="28" w:right="14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The implementation of SDR disciplines tends to correspond to more services trade by all four modes of supply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(Figure 4). Trade in services is critical to economic growth and development. For developing economies, services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trade offers opportunities to build know-how and technological capacity and achieve competitiveness at the global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level. Moreover, there is evidence that services exporters pay higher wages than non-exporting firms. </w:t>
      </w:r>
    </w:p>
    <w:p>
      <w:pPr>
        <w:autoSpaceDN w:val="0"/>
        <w:autoSpaceDE w:val="0"/>
        <w:widowControl/>
        <w:spacing w:line="257" w:lineRule="auto" w:before="166" w:after="0"/>
        <w:ind w:left="28" w:right="14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Cutting red tape in regulatory frameworks can help create new services trade opportunities for suppliers of all sizes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and women entrepreneurs. It can benefit particularly micro, small and medium-sized enterprises (MSMEs), which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typically face limited resources to navigate complex and costly requirements and procedures. </w:t>
      </w:r>
    </w:p>
    <w:p>
      <w:pPr>
        <w:autoSpaceDN w:val="0"/>
        <w:autoSpaceDE w:val="0"/>
        <w:widowControl/>
        <w:spacing w:line="298" w:lineRule="auto" w:before="3080" w:after="0"/>
        <w:ind w:left="0" w:right="192" w:firstLine="0"/>
        <w:jc w:val="right"/>
      </w:pPr>
      <w:r>
        <w:rPr>
          <w:rFonts w:ascii="ArialMT" w:hAnsi="ArialMT" w:eastAsia="ArialMT"/>
          <w:b w:val="0"/>
          <w:i w:val="0"/>
          <w:color w:val="404040"/>
          <w:sz w:val="16"/>
        </w:rPr>
        <w:t xml:space="preserve">OECD-WTO Trade Policy Brief  |  </w:t>
      </w:r>
      <w:r>
        <w:rPr>
          <w:rFonts w:ascii="Arial" w:hAnsi="Arial" w:eastAsia="Arial"/>
          <w:b/>
          <w:i w:val="0"/>
          <w:color w:val="404040"/>
          <w:sz w:val="16"/>
        </w:rPr>
        <w:t>5</w:t>
      </w:r>
    </w:p>
    <w:p>
      <w:pPr>
        <w:sectPr>
          <w:pgSz w:w="11906" w:h="16838"/>
          <w:pgMar w:top="324" w:right="1246" w:bottom="35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tabs>
          <w:tab w:pos="2636" w:val="left"/>
        </w:tabs>
        <w:autoSpaceDE w:val="0"/>
        <w:widowControl/>
        <w:spacing w:line="240" w:lineRule="auto" w:before="0" w:after="0"/>
        <w:ind w:left="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52880" cy="431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2880" cy="431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363980" cy="32639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326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0" w:lineRule="auto" w:before="274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18"/>
        </w:rPr>
        <w:t xml:space="preserve">Figure 4: Correlation between implementation of SDR disciplines and volume of services trade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23890" cy="409447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40944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0" w:after="0"/>
        <w:ind w:left="28" w:right="26" w:firstLine="0"/>
        <w:jc w:val="both"/>
      </w:pPr>
      <w:r>
        <w:rPr>
          <w:rFonts w:ascii="Arial" w:hAnsi="Arial" w:eastAsia="Arial"/>
          <w:b w:val="0"/>
          <w:i/>
          <w:color w:val="000000"/>
          <w:sz w:val="16"/>
        </w:rPr>
        <w:t>Note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: (1) H, UM, LM and L denote the average for high, upper−middle, lower−middle and low-income economies. Number of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economies = 150. (2) Scores measure the level of inclusion of disciplines in RTAs. They are defined as simple averages across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all SDR disciplines, ranging from 0 (discipline absent) to 1 (discipline adopted). Implementation is assumed when a WTO member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has included the discipline at least once in its RTAs. The logarithm of services trade by all four modes of supply, measured as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sum of exports and imports, is derived from a new experimental dataset on Trade in Services by mode of supply (TISMOS)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from the WTO. </w:t>
      </w:r>
    </w:p>
    <w:p>
      <w:pPr>
        <w:autoSpaceDN w:val="0"/>
        <w:autoSpaceDE w:val="0"/>
        <w:widowControl/>
        <w:spacing w:line="286" w:lineRule="auto" w:before="0" w:after="0"/>
        <w:ind w:left="28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6"/>
        </w:rPr>
        <w:t>Source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: Baiker, Bertola &amp; Jelitto (2021). </w:t>
      </w:r>
    </w:p>
    <w:p>
      <w:pPr>
        <w:autoSpaceDN w:val="0"/>
        <w:autoSpaceDE w:val="0"/>
        <w:widowControl/>
        <w:spacing w:line="250" w:lineRule="auto" w:before="324" w:after="0"/>
        <w:ind w:left="28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Furthermore, the implementation of SDR disciplines is associated with more active engagement in GVCs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(Figure 5). By fostering the efficiency and competitiveness of domestic services sectors, participation in GVCs can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assist the development efforts of lower-income economies. GVCs offer opportunities to integrate into the global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economy, especially for MSMEs. They promote employment, and generate positive spill over effects, including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knowledge and technological progress. </w:t>
      </w:r>
    </w:p>
    <w:p>
      <w:pPr>
        <w:autoSpaceDN w:val="0"/>
        <w:autoSpaceDE w:val="0"/>
        <w:widowControl/>
        <w:spacing w:line="257" w:lineRule="auto" w:before="200" w:after="0"/>
        <w:ind w:left="28" w:right="22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As GVCs rely intensively on services, measures on authorization requirements and procedures that regulate the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supply of services play a particularly prominent role. Hence, removing red tape and delays, as well as bridging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regulatory divergence is key to the effective and efficient operation of GVCs. </w:t>
      </w:r>
    </w:p>
    <w:p>
      <w:pPr>
        <w:autoSpaceDN w:val="0"/>
        <w:autoSpaceDE w:val="0"/>
        <w:widowControl/>
        <w:spacing w:line="298" w:lineRule="auto" w:before="3988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404040"/>
          <w:sz w:val="16"/>
        </w:rPr>
        <w:t>6</w:t>
      </w:r>
      <w:r>
        <w:rPr>
          <w:rFonts w:ascii="ArialMT" w:hAnsi="ArialMT" w:eastAsia="ArialMT"/>
          <w:b w:val="0"/>
          <w:i w:val="0"/>
          <w:color w:val="404040"/>
          <w:sz w:val="16"/>
        </w:rPr>
        <w:t xml:space="preserve">  |  OECD-WTO Trade Policy Brief </w:t>
      </w:r>
    </w:p>
    <w:p>
      <w:pPr>
        <w:sectPr>
          <w:pgSz w:w="11906" w:h="16838"/>
          <w:pgMar w:top="360" w:right="1368" w:bottom="35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4"/>
        <w:ind w:left="0" w:right="0"/>
      </w:pPr>
    </w:p>
    <w:p>
      <w:pPr>
        <w:autoSpaceDN w:val="0"/>
        <w:tabs>
          <w:tab w:pos="6868" w:val="left"/>
        </w:tabs>
        <w:autoSpaceDE w:val="0"/>
        <w:widowControl/>
        <w:spacing w:line="240" w:lineRule="auto" w:before="0" w:after="0"/>
        <w:ind w:left="419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54150" cy="4318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431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388109" cy="32385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8109" cy="323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0" w:lineRule="auto" w:before="346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18"/>
        </w:rPr>
        <w:t xml:space="preserve">Figure 5: Correlation between implementation of SDR disciplines and participation in global value chains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25159" cy="398145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5159" cy="3981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100" w:after="0"/>
        <w:ind w:left="28" w:right="24" w:firstLine="0"/>
        <w:jc w:val="both"/>
      </w:pPr>
      <w:r>
        <w:rPr>
          <w:rFonts w:ascii="Arial" w:hAnsi="Arial" w:eastAsia="Arial"/>
          <w:b w:val="0"/>
          <w:i/>
          <w:color w:val="000000"/>
          <w:sz w:val="16"/>
        </w:rPr>
        <w:t>Note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: (1) H, UM, LM and L denote the average for high, upper−middle, lower−middle and low income economies. Number of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economies: 136 (2) Scores measure the level of inclusion of disciplines in RTAs. They are defined as simple averages across all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SDR disciplines, ranging from 0 (discipline absent) to 1 (discipline adopted). Implementation is assumed when a WTO member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has included the discipline at least once in its RTAs. GVC participation, calculated as the sum of foreign value-added in a country's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own exports (backward participation) and domestic value-added in other countries' exports (forward participation), is derived from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UNCTAD-Eora Global Value Chain Database. </w:t>
      </w:r>
    </w:p>
    <w:p>
      <w:pPr>
        <w:autoSpaceDN w:val="0"/>
        <w:autoSpaceDE w:val="0"/>
        <w:widowControl/>
        <w:spacing w:line="286" w:lineRule="auto" w:before="0" w:after="0"/>
        <w:ind w:left="28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6"/>
        </w:rPr>
        <w:t>Source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: Baiker, Bertola &amp; Jelitto (2021). </w:t>
      </w:r>
    </w:p>
    <w:p>
      <w:pPr>
        <w:autoSpaceDN w:val="0"/>
        <w:autoSpaceDE w:val="0"/>
        <w:widowControl/>
        <w:spacing w:line="298" w:lineRule="auto" w:before="312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1629A"/>
          <w:sz w:val="22"/>
        </w:rPr>
        <w:t xml:space="preserve">Concluding remarks </w:t>
      </w:r>
    </w:p>
    <w:p>
      <w:pPr>
        <w:autoSpaceDN w:val="0"/>
        <w:autoSpaceDE w:val="0"/>
        <w:widowControl/>
        <w:spacing w:line="247" w:lineRule="auto" w:before="190" w:after="0"/>
        <w:ind w:left="28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At a time when businesses advocate for more transparency and predictability of regulatory frameworks, and even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more so against the backdrop of the current COVID-19 pandemic, the SDR disciplines will consolidate a set of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internationally recognized good regulatory practices within the WTO legal framework. Through the implementation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of these disciplines, economies can significantly lower trade costs, with an estimated reduction of around USD 150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billion annually, and reap related trade benefits, including enhancing volumes of services trade and fostering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participation in global value chains. </w:t>
      </w:r>
    </w:p>
    <w:p>
      <w:pPr>
        <w:autoSpaceDN w:val="0"/>
        <w:autoSpaceDE w:val="0"/>
        <w:widowControl/>
        <w:spacing w:line="298" w:lineRule="auto" w:before="308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1629A"/>
          <w:sz w:val="22"/>
        </w:rPr>
        <w:t xml:space="preserve">Further Reading </w:t>
      </w:r>
    </w:p>
    <w:p>
      <w:pPr>
        <w:autoSpaceDN w:val="0"/>
        <w:autoSpaceDE w:val="0"/>
        <w:widowControl/>
        <w:spacing w:line="254" w:lineRule="auto" w:before="188" w:after="0"/>
        <w:ind w:left="28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Baiker, L., Bertola, E., &amp; Jelitto, M. (2021). "Services Domestic Regulation – Locking in Good Regulatory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Practices. Analyzing the Prevalence of Services Domestic Regulation Disciplines and their Potential Linkages </w:t>
      </w:r>
      <w:r>
        <w:rPr>
          <w:rFonts w:ascii="ArialMT" w:hAnsi="ArialMT" w:eastAsia="ArialMT"/>
          <w:b w:val="0"/>
          <w:i w:val="0"/>
          <w:color w:val="000000"/>
          <w:sz w:val="18"/>
        </w:rPr>
        <w:hyperlink r:id="rId23" w:history="1">
          <w:r>
            <w:rPr>
              <w:rStyle w:val="Hyperlink"/>
            </w:rPr>
            <w:t xml:space="preserve">with Economic Performance." </w:t>
          </w:r>
        </w:hyperlink>
      </w:r>
      <w:r>
        <w:rPr>
          <w:rFonts w:ascii="Arial" w:hAnsi="Arial" w:eastAsia="Arial"/>
          <w:b w:val="0"/>
          <w:i/>
          <w:color w:val="000000"/>
          <w:sz w:val="18"/>
        </w:rPr>
        <w:hyperlink r:id="rId23" w:history="1">
          <w:r>
            <w:rPr>
              <w:rStyle w:val="Hyperlink"/>
            </w:rPr>
            <w:t>WTO Staff Working Paper ERS</w:t>
          </w:r>
        </w:hyperlink>
      </w:r>
      <w:r>
        <w:rPr>
          <w:rFonts w:ascii="Arial" w:hAnsi="Arial" w:eastAsia="Arial"/>
          <w:b w:val="0"/>
          <w:i/>
          <w:color w:val="000000"/>
          <w:sz w:val="18"/>
        </w:rPr>
        <w:t xml:space="preserve">D-2021-14. </w:t>
      </w:r>
    </w:p>
    <w:p>
      <w:pPr>
        <w:autoSpaceDN w:val="0"/>
        <w:autoSpaceDE w:val="0"/>
        <w:widowControl/>
        <w:spacing w:line="283" w:lineRule="auto" w:before="0" w:after="0"/>
        <w:ind w:left="28" w:right="0" w:firstLine="0"/>
        <w:jc w:val="left"/>
      </w:pPr>
      <w:r>
        <w:rPr>
          <w:rFonts w:ascii="ArialMT" w:hAnsi="ArialMT" w:eastAsia="ArialMT"/>
          <w:b w:val="0"/>
          <w:i w:val="0"/>
          <w:color w:val="0000FF"/>
          <w:sz w:val="18"/>
          <w:u w:val="single"/>
        </w:rPr>
        <w:hyperlink r:id="rId23" w:history="1">
          <w:r>
            <w:rPr>
              <w:rStyle w:val="Hyperlink"/>
            </w:rPr>
            <w:t>https://www.wto.org/english/res_e/reser_e/ersd202114_e.htm</w:t>
          </w:r>
        </w:hyperlink>
      </w:r>
    </w:p>
    <w:p>
      <w:pPr>
        <w:autoSpaceDN w:val="0"/>
        <w:autoSpaceDE w:val="0"/>
        <w:widowControl/>
        <w:spacing w:line="254" w:lineRule="auto" w:before="202" w:after="0"/>
        <w:ind w:left="28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hyperlink r:id="rId23" w:history="1">
          <w:r>
            <w:rPr>
              <w:rStyle w:val="Hyperlink"/>
            </w:rPr>
            <w:t xml:space="preserve">Benz, S. and A. Jaax (2020), "The costs of regulatory barriers 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to trade in services: New estimates of ad valorem </w:t>
      </w:r>
      <w:r>
        <w:rPr>
          <w:rFonts w:ascii="ArialMT" w:hAnsi="ArialMT" w:eastAsia="ArialMT"/>
          <w:b w:val="0"/>
          <w:i w:val="0"/>
          <w:color w:val="000000"/>
          <w:sz w:val="18"/>
        </w:rPr>
        <w:hyperlink r:id="rId24" w:history="1">
          <w:r>
            <w:rPr>
              <w:rStyle w:val="Hyperlink"/>
            </w:rPr>
            <w:t>tariff equivalents", OECD Trade Poli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cy Papers, No. 238, OECD Publishing, Paris, </w:t>
      </w:r>
      <w:r>
        <w:br/>
      </w:r>
      <w:r>
        <w:rPr>
          <w:rFonts w:ascii="ArialMT" w:hAnsi="ArialMT" w:eastAsia="ArialMT"/>
          <w:b w:val="0"/>
          <w:i w:val="0"/>
          <w:color w:val="0000FF"/>
          <w:sz w:val="18"/>
          <w:u w:val="single"/>
        </w:rPr>
        <w:hyperlink r:id="rId24" w:history="1">
          <w:r>
            <w:rPr>
              <w:rStyle w:val="Hyperlink"/>
            </w:rPr>
            <w:t>https://doi.org/10.1787/bae97f98-en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hyperlink r:id="rId24" w:history="1">
          <w:r>
            <w:rPr>
              <w:rStyle w:val="Hyperlink"/>
            </w:rPr>
            <w:t>.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62" w:lineRule="auto" w:before="202" w:after="0"/>
        <w:ind w:left="28" w:right="4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hyperlink r:id="rId24" w:history="1">
          <w:r>
            <w:rPr>
              <w:rStyle w:val="Hyperlink"/>
            </w:rPr>
            <w:t>World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hyperlink r:id="rId25" w:history="1">
          <w:r>
            <w:rPr>
              <w:rStyle w:val="Hyperlink"/>
            </w:rPr>
            <w:t xml:space="preserve"> Trade Organization (WTO) (2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hyperlink r:id="rId25" w:history="1">
          <w:r>
            <w:rPr>
              <w:rStyle w:val="Hyperlink"/>
            </w:rPr>
            <w:t xml:space="preserve">019), “World Trade Report 2019: 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The future of services trade”, Geneva: </w:t>
      </w:r>
      <w:r>
        <w:rPr>
          <w:rFonts w:ascii="ArialMT" w:hAnsi="ArialMT" w:eastAsia="ArialMT"/>
          <w:b w:val="0"/>
          <w:i w:val="0"/>
          <w:color w:val="000000"/>
          <w:sz w:val="18"/>
        </w:rPr>
        <w:t>WTO.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</w:t>
      </w:r>
      <w:r>
        <w:rPr>
          <w:rFonts w:ascii="ArialMT" w:hAnsi="ArialMT" w:eastAsia="ArialMT"/>
          <w:b w:val="0"/>
          <w:i w:val="0"/>
          <w:color w:val="0000FF"/>
          <w:sz w:val="18"/>
          <w:u w:val="single"/>
        </w:rPr>
        <w:hyperlink r:id="rId25" w:history="1">
          <w:r>
            <w:rPr>
              <w:rStyle w:val="Hyperlink"/>
            </w:rPr>
            <w:t>https://www.wto.org/english/res_e/publications_e/wtr19_e.htm</w:t>
          </w:r>
        </w:hyperlink>
      </w:r>
    </w:p>
    <w:p>
      <w:pPr>
        <w:autoSpaceDN w:val="0"/>
        <w:autoSpaceDE w:val="0"/>
        <w:widowControl/>
        <w:spacing w:line="298" w:lineRule="auto" w:before="1014" w:after="0"/>
        <w:ind w:left="0" w:right="68" w:firstLine="0"/>
        <w:jc w:val="right"/>
      </w:pPr>
      <w:r>
        <w:rPr>
          <w:rFonts w:ascii="ArialMT" w:hAnsi="ArialMT" w:eastAsia="ArialMT"/>
          <w:b w:val="0"/>
          <w:i w:val="0"/>
          <w:color w:val="404040"/>
          <w:sz w:val="16"/>
        </w:rPr>
        <w:t xml:space="preserve">OECD-WTO Trade Policy Brief  |  </w:t>
      </w:r>
      <w:r>
        <w:rPr>
          <w:rFonts w:ascii="Arial" w:hAnsi="Arial" w:eastAsia="Arial"/>
          <w:b/>
          <w:i w:val="0"/>
          <w:color w:val="404040"/>
          <w:sz w:val="16"/>
        </w:rPr>
        <w:t>7</w:t>
      </w:r>
    </w:p>
    <w:sectPr w:rsidR="00FC693F" w:rsidRPr="0006063C" w:rsidSect="00034616">
      <w:pgSz w:w="11906" w:h="16838"/>
      <w:pgMar w:top="324" w:right="1370" w:bottom="350" w:left="141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s://www.wto.org/english/tratop_e/serv_e/xserv_e/jsdomreg_e.htm" TargetMode="External"/><Relationship Id="rId14" Type="http://schemas.openxmlformats.org/officeDocument/2006/relationships/hyperlink" Target="https://docs.wto.org/dol2festaff/Pages/SS/directdoc.aspx?filename=q:/INF/SDR/1.pdf&amp;Open=True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yperlink" Target="http://oe.cd/stri" TargetMode="External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hyperlink" Target="https://www.wto.org/english/res_e/reser_e/ersd202114_e.htm" TargetMode="External"/><Relationship Id="rId24" Type="http://schemas.openxmlformats.org/officeDocument/2006/relationships/hyperlink" Target="https://doi.org/10.1787/bae97f98-en" TargetMode="External"/><Relationship Id="rId25" Type="http://schemas.openxmlformats.org/officeDocument/2006/relationships/hyperlink" Target="https://www.wto.org/english/res_e/publications_e/wtr19_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