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60"/>
        <w:ind w:left="0" w:right="0"/>
      </w:pPr>
    </w:p>
    <w:p>
      <w:pPr>
        <w:autoSpaceDN w:val="0"/>
        <w:autoSpaceDE w:val="0"/>
        <w:widowControl/>
        <w:spacing w:line="568" w:lineRule="exact" w:before="0" w:after="0"/>
        <w:ind w:left="54" w:right="0" w:firstLine="0"/>
        <w:jc w:val="left"/>
      </w:pPr>
      <w:r>
        <w:rPr>
          <w:rFonts w:ascii="HelveticaNeueLTStd" w:hAnsi="HelveticaNeueLTStd" w:eastAsia="HelveticaNeueLTStd"/>
          <w:b w:val="0"/>
          <w:i w:val="0"/>
        </w:rPr>
        <w:t xml:space="preserve">SERVICES DOMESTIC REGULATION IN THE WTO: </w:t>
      </w:r>
    </w:p>
    <w:p>
      <w:pPr>
        <w:sectPr>
          <w:pgSz w:w="11906" w:h="16838"/>
          <w:pgMar w:top="1440" w:right="428" w:bottom="350" w:left="6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346" w:after="0"/>
        <w:ind w:left="28" w:right="864" w:firstLine="0"/>
        <w:jc w:val="left"/>
      </w:pPr>
      <w:r>
        <w:rPr>
          <w:rFonts w:ascii="ArialMT" w:hAnsi="ArialMT" w:eastAsia="ArialMT"/>
          <w:b w:val="0"/>
          <w:i w:val="0"/>
        </w:rPr>
        <w:t xml:space="preserve">Services domestic regulation in the WTO: </w:t>
      </w:r>
    </w:p>
    <w:p>
      <w:pPr>
        <w:sectPr>
          <w:pgSz w:w="11906" w:h="16838"/>
          <w:pgMar w:top="324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562"/>
        <w:gridCol w:w="4562"/>
      </w:tblGrid>
      <w:tr>
        <w:trPr>
          <w:trHeight w:hRule="exact" w:val="74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52880" cy="431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63980" cy="3263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326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9124"/>
      </w:tblGrid>
      <w:tr>
        <w:trPr>
          <w:trHeight w:hRule="exact" w:val="10574"/>
        </w:trPr>
        <w:tc>
          <w:tcPr>
            <w:tcW w:type="dxa" w:w="9000"/>
            <w:tcBorders>
              <w:start w:sz="12.0" w:val="single" w:color="#A5A6A5"/>
              <w:top w:sz="12.0" w:val="single" w:color="#A5A6A5"/>
              <w:end w:sz="12.0" w:val="single" w:color="#A5A6A5"/>
              <w:bottom w:sz="12.0" w:val="single" w:color="#A5A6A5"/>
            </w:tcBorders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7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</w:rPr>
              <w:t xml:space="preserve">The disciplines on services domestic regulation – in brief </w:t>
            </w:r>
          </w:p>
        </w:tc>
      </w:tr>
    </w:tbl>
    <w:p>
      <w:pPr>
        <w:sectPr>
          <w:pgSz w:w="11906" w:h="16838"/>
          <w:pgMar w:top="360" w:right="1370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0"/>
        <w:ind w:left="0" w:right="0" w:firstLine="0"/>
        <w:jc w:val="center"/>
      </w:pPr>
      <w:r>
        <w:rPr>
          <w:rFonts w:ascii="Arial" w:hAnsi="Arial" w:eastAsia="Arial"/>
          <w:b/>
          <w:i w:val="0"/>
        </w:rPr>
        <w:t xml:space="preserve">Figure 1: Number of liberalising policy reforms related to SDR disciplines between 2014-2020 </w:t>
      </w:r>
    </w:p>
    <w:p>
      <w:pPr>
        <w:sectPr>
          <w:pgSz w:w="11906" w:h="16838"/>
          <w:pgMar w:top="324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263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2880" cy="43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63980" cy="326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26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274" w:after="176"/>
        <w:ind w:left="720" w:right="720" w:firstLine="0"/>
        <w:jc w:val="center"/>
      </w:pPr>
      <w:r>
        <w:rPr>
          <w:rFonts w:ascii="Arial" w:hAnsi="Arial" w:eastAsia="Arial"/>
          <w:b/>
          <w:i w:val="0"/>
        </w:rPr>
        <w:t xml:space="preserve">Figure 2: Streamlining SDR reduces barriers to services trade </w:t>
      </w:r>
    </w:p>
    <w:p>
      <w:pPr>
        <w:sectPr>
          <w:pgSz w:w="11906" w:h="16838"/>
          <w:pgMar w:top="360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184"/>
        <w:ind w:left="1194" w:right="0" w:firstLine="0"/>
        <w:jc w:val="left"/>
      </w:pPr>
      <w:r>
        <w:rPr>
          <w:rFonts w:ascii="Arial" w:hAnsi="Arial" w:eastAsia="Arial"/>
          <w:b/>
          <w:i w:val="0"/>
        </w:rPr>
        <w:t xml:space="preserve">Figure 3: Annual trade cost savings in five broad services sectors, billion USD </w:t>
      </w:r>
    </w:p>
    <w:p>
      <w:pPr>
        <w:sectPr>
          <w:pgSz w:w="11906" w:h="16838"/>
          <w:pgMar w:top="324" w:right="1246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2636" w:val="left"/>
        </w:tabs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2880" cy="431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63980" cy="3263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26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274" w:after="0"/>
        <w:ind w:left="0" w:right="0" w:firstLine="0"/>
        <w:jc w:val="center"/>
      </w:pPr>
      <w:r>
        <w:rPr>
          <w:rFonts w:ascii="Arial" w:hAnsi="Arial" w:eastAsia="Arial"/>
          <w:b/>
          <w:i w:val="0"/>
        </w:rPr>
        <w:t xml:space="preserve">Figure 4: Correlation between implementation of SDR disciplines and volume of services trade </w:t>
      </w:r>
    </w:p>
    <w:p>
      <w:pPr>
        <w:sectPr>
          <w:pgSz w:w="11906" w:h="16838"/>
          <w:pgMar w:top="360" w:right="1368" w:bottom="35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tabs>
          <w:tab w:pos="6868" w:val="left"/>
        </w:tabs>
        <w:autoSpaceDE w:val="0"/>
        <w:widowControl/>
        <w:spacing w:line="240" w:lineRule="auto" w:before="0" w:after="0"/>
        <w:ind w:left="41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54150" cy="431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88109" cy="3238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46" w:after="0"/>
        <w:ind w:left="0" w:right="0" w:firstLine="0"/>
        <w:jc w:val="center"/>
      </w:pPr>
      <w:r>
        <w:rPr>
          <w:rFonts w:ascii="Arial" w:hAnsi="Arial" w:eastAsia="Arial"/>
          <w:b/>
          <w:i w:val="0"/>
        </w:rPr>
        <w:t xml:space="preserve">Figure 5: Correlation between implementation of SDR disciplines and participation in global value chains </w:t>
      </w:r>
    </w:p>
    <w:sectPr w:rsidR="00FC693F" w:rsidRPr="0006063C" w:rsidSect="00034616">
      <w:pgSz w:w="11906" w:h="16838"/>
      <w:pgMar w:top="324" w:right="1370" w:bottom="350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