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937F5" w14:textId="4B2C7F09" w:rsidR="00D332CF" w:rsidRPr="005168CF" w:rsidRDefault="00F62A0C" w:rsidP="008A36AA">
      <w:pPr>
        <w:pStyle w:val="Title"/>
        <w:pBdr>
          <w:bottom w:val="none" w:sz="0" w:space="0" w:color="auto"/>
        </w:pBdr>
        <w:spacing w:line="276" w:lineRule="auto"/>
        <w:jc w:val="center"/>
        <w:rPr>
          <w:rFonts w:ascii="Arial" w:hAnsi="Arial" w:cs="Arial"/>
          <w:b/>
          <w:color w:val="auto"/>
          <w:sz w:val="28"/>
          <w:szCs w:val="28"/>
          <w:lang w:val="en-US"/>
        </w:rPr>
      </w:pPr>
      <w:r w:rsidRPr="005168CF">
        <w:rPr>
          <w:rFonts w:ascii="Arial" w:hAnsi="Arial" w:cs="Arial"/>
          <w:b/>
          <w:color w:val="auto"/>
          <w:sz w:val="28"/>
          <w:szCs w:val="28"/>
          <w:lang w:val="en-US"/>
        </w:rPr>
        <w:t>Forecasting Financial Markets with Agent-Based Models</w:t>
      </w:r>
    </w:p>
    <w:p w14:paraId="30D16872" w14:textId="77777777" w:rsidR="00F5178E" w:rsidRPr="005168CF" w:rsidRDefault="00F5178E" w:rsidP="008A36AA">
      <w:pPr>
        <w:rPr>
          <w:rFonts w:ascii="Arial" w:hAnsi="Arial" w:cs="Arial"/>
          <w:lang w:val="en-US"/>
        </w:rPr>
      </w:pPr>
    </w:p>
    <w:p w14:paraId="4DBBBE0A" w14:textId="21FEDC5F" w:rsidR="00B81D61" w:rsidRPr="005168CF" w:rsidRDefault="00B81D61" w:rsidP="008A36AA">
      <w:pPr>
        <w:autoSpaceDE w:val="0"/>
        <w:autoSpaceDN w:val="0"/>
        <w:adjustRightInd w:val="0"/>
        <w:spacing w:line="276" w:lineRule="auto"/>
        <w:jc w:val="center"/>
        <w:rPr>
          <w:rFonts w:ascii="Arial" w:hAnsi="Arial" w:cs="Arial"/>
          <w:sz w:val="18"/>
          <w:szCs w:val="18"/>
          <w:lang w:val="en-US"/>
        </w:rPr>
      </w:pPr>
    </w:p>
    <w:p w14:paraId="45D914F1" w14:textId="4B7D5A04" w:rsidR="00750A9C" w:rsidRPr="003044E9" w:rsidRDefault="00B81D61" w:rsidP="008A36AA">
      <w:pPr>
        <w:autoSpaceDE w:val="0"/>
        <w:autoSpaceDN w:val="0"/>
        <w:adjustRightInd w:val="0"/>
        <w:spacing w:line="276" w:lineRule="auto"/>
        <w:jc w:val="center"/>
        <w:rPr>
          <w:rFonts w:ascii="Arial" w:hAnsi="Arial" w:cs="Arial"/>
          <w:sz w:val="22"/>
          <w:szCs w:val="22"/>
          <w:lang w:val="en-US"/>
        </w:rPr>
      </w:pPr>
      <w:r w:rsidRPr="003044E9">
        <w:rPr>
          <w:rFonts w:ascii="Arial" w:hAnsi="Arial" w:cs="Arial"/>
          <w:sz w:val="22"/>
          <w:szCs w:val="22"/>
          <w:lang w:val="en-US"/>
        </w:rPr>
        <w:t xml:space="preserve">Thomas </w:t>
      </w:r>
      <w:r w:rsidR="003044E9">
        <w:rPr>
          <w:rFonts w:ascii="Arial" w:hAnsi="Arial" w:cs="Arial"/>
          <w:sz w:val="22"/>
          <w:szCs w:val="22"/>
          <w:lang w:val="en-US"/>
        </w:rPr>
        <w:t>Ankenbrand</w:t>
      </w:r>
    </w:p>
    <w:p w14:paraId="7EB092A8" w14:textId="380F5E24" w:rsidR="006E28B0" w:rsidRPr="005168CF" w:rsidRDefault="00DD23CB" w:rsidP="008A36AA">
      <w:pPr>
        <w:autoSpaceDE w:val="0"/>
        <w:autoSpaceDN w:val="0"/>
        <w:adjustRightInd w:val="0"/>
        <w:spacing w:line="276" w:lineRule="auto"/>
        <w:jc w:val="center"/>
        <w:rPr>
          <w:rStyle w:val="Hyperlink"/>
          <w:rFonts w:ascii="Arial" w:hAnsi="Arial" w:cs="Arial"/>
          <w:color w:val="auto"/>
          <w:sz w:val="18"/>
          <w:szCs w:val="18"/>
          <w:u w:val="none"/>
          <w:lang w:val="en-US"/>
        </w:rPr>
      </w:pPr>
      <w:r w:rsidRPr="005168CF">
        <w:rPr>
          <w:rFonts w:ascii="Arial" w:hAnsi="Arial" w:cs="Arial"/>
          <w:sz w:val="18"/>
          <w:szCs w:val="18"/>
          <w:lang w:val="en-US"/>
        </w:rPr>
        <w:t>thomas.ankenbrand@hslu.ch</w:t>
      </w:r>
    </w:p>
    <w:p w14:paraId="7D7338D8" w14:textId="381B7D05" w:rsidR="003E2122" w:rsidRPr="005168CF" w:rsidRDefault="003E2122" w:rsidP="008A36AA">
      <w:pPr>
        <w:autoSpaceDE w:val="0"/>
        <w:autoSpaceDN w:val="0"/>
        <w:adjustRightInd w:val="0"/>
        <w:spacing w:line="276" w:lineRule="auto"/>
        <w:jc w:val="center"/>
        <w:rPr>
          <w:rFonts w:ascii="Arial" w:hAnsi="Arial" w:cs="Arial"/>
          <w:sz w:val="18"/>
          <w:szCs w:val="18"/>
          <w:lang w:val="en-US"/>
        </w:rPr>
      </w:pPr>
    </w:p>
    <w:p w14:paraId="56E21AD6" w14:textId="77777777" w:rsidR="006E28B0" w:rsidRPr="005168CF" w:rsidRDefault="006E28B0" w:rsidP="008A36AA">
      <w:pPr>
        <w:autoSpaceDE w:val="0"/>
        <w:autoSpaceDN w:val="0"/>
        <w:adjustRightInd w:val="0"/>
        <w:spacing w:line="276" w:lineRule="auto"/>
        <w:jc w:val="center"/>
        <w:rPr>
          <w:rFonts w:ascii="Arial" w:hAnsi="Arial" w:cs="Arial"/>
          <w:lang w:val="en-US"/>
        </w:rPr>
      </w:pPr>
    </w:p>
    <w:p w14:paraId="51ADD0FF" w14:textId="64CB3C83" w:rsidR="00317C3E" w:rsidRPr="005168CF" w:rsidRDefault="00D332CF" w:rsidP="008A36AA">
      <w:pPr>
        <w:pStyle w:val="Heading1"/>
        <w:tabs>
          <w:tab w:val="center" w:pos="4533"/>
        </w:tabs>
        <w:spacing w:line="276" w:lineRule="auto"/>
        <w:rPr>
          <w:rFonts w:ascii="Arial" w:hAnsi="Arial" w:cs="Arial"/>
          <w:color w:val="auto"/>
          <w:sz w:val="22"/>
          <w:szCs w:val="22"/>
          <w:lang w:val="en-US"/>
        </w:rPr>
      </w:pPr>
      <w:r w:rsidRPr="005168CF">
        <w:rPr>
          <w:rFonts w:ascii="Arial" w:hAnsi="Arial" w:cs="Arial"/>
          <w:color w:val="auto"/>
          <w:sz w:val="22"/>
          <w:szCs w:val="22"/>
          <w:lang w:val="en-US"/>
        </w:rPr>
        <w:t>A</w:t>
      </w:r>
      <w:r w:rsidR="00317C3E" w:rsidRPr="005168CF">
        <w:rPr>
          <w:rFonts w:ascii="Arial" w:hAnsi="Arial" w:cs="Arial"/>
          <w:color w:val="auto"/>
          <w:sz w:val="22"/>
          <w:szCs w:val="22"/>
          <w:lang w:val="en-US"/>
        </w:rPr>
        <w:t>bstract</w:t>
      </w:r>
      <w:r w:rsidR="009724C6" w:rsidRPr="005168CF">
        <w:rPr>
          <w:rFonts w:ascii="Arial" w:hAnsi="Arial" w:cs="Arial"/>
          <w:color w:val="auto"/>
          <w:sz w:val="22"/>
          <w:szCs w:val="22"/>
          <w:lang w:val="en-US"/>
        </w:rPr>
        <w:tab/>
      </w:r>
    </w:p>
    <w:p w14:paraId="777EBAA9" w14:textId="77777777" w:rsidR="008A36AA" w:rsidRDefault="00003670" w:rsidP="008A36AA">
      <w:pPr>
        <w:spacing w:line="276" w:lineRule="auto"/>
        <w:jc w:val="both"/>
        <w:rPr>
          <w:rFonts w:ascii="Arial" w:hAnsi="Arial" w:cs="Arial"/>
          <w:b/>
          <w:i/>
          <w:color w:val="000000" w:themeColor="text1"/>
          <w:lang w:val="en-US"/>
        </w:rPr>
      </w:pPr>
      <w:r w:rsidRPr="005168CF">
        <w:rPr>
          <w:rFonts w:ascii="Arial" w:hAnsi="Arial" w:cs="Arial"/>
          <w:b/>
          <w:i/>
          <w:color w:val="000000" w:themeColor="text1"/>
          <w:lang w:val="en-US"/>
        </w:rPr>
        <w:t xml:space="preserve">       </w:t>
      </w:r>
    </w:p>
    <w:p w14:paraId="06A77E56" w14:textId="0B100797" w:rsidR="00574743" w:rsidRPr="008A36AA" w:rsidRDefault="00574743" w:rsidP="008A36AA">
      <w:pPr>
        <w:spacing w:line="276" w:lineRule="auto"/>
        <w:jc w:val="both"/>
        <w:rPr>
          <w:rFonts w:ascii="Arial" w:hAnsi="Arial" w:cs="Arial"/>
          <w:b/>
          <w:i/>
          <w:color w:val="000000" w:themeColor="text1"/>
          <w:lang w:val="en-US"/>
        </w:rPr>
      </w:pPr>
      <w:r w:rsidRPr="005168CF">
        <w:rPr>
          <w:rFonts w:ascii="Arial" w:hAnsi="Arial" w:cs="Arial"/>
          <w:b/>
          <w:i/>
          <w:color w:val="000000" w:themeColor="text1"/>
          <w:sz w:val="20"/>
          <w:szCs w:val="20"/>
          <w:lang w:val="en-US"/>
        </w:rPr>
        <w:t>Keywords</w:t>
      </w:r>
      <w:r w:rsidRPr="005168CF">
        <w:rPr>
          <w:rFonts w:ascii="Arial" w:hAnsi="Arial" w:cs="Arial"/>
          <w:color w:val="000000" w:themeColor="text1"/>
          <w:sz w:val="20"/>
          <w:szCs w:val="20"/>
          <w:lang w:val="en-US"/>
        </w:rPr>
        <w:t xml:space="preserve">: </w:t>
      </w:r>
      <w:r w:rsidR="00322BAA">
        <w:rPr>
          <w:rFonts w:ascii="Arial" w:hAnsi="Arial" w:cs="Arial"/>
          <w:color w:val="000000" w:themeColor="text1"/>
          <w:sz w:val="20"/>
          <w:szCs w:val="20"/>
          <w:lang w:val="en-US"/>
        </w:rPr>
        <w:t>Financial Markets, Prediction</w:t>
      </w:r>
      <w:r w:rsidR="00C85606" w:rsidRPr="008A36AA">
        <w:rPr>
          <w:rFonts w:ascii="Arial" w:hAnsi="Arial" w:cs="Arial"/>
          <w:color w:val="000000" w:themeColor="text1"/>
          <w:sz w:val="20"/>
          <w:szCs w:val="20"/>
          <w:lang w:val="en-US"/>
        </w:rPr>
        <w:t xml:space="preserve">, </w:t>
      </w:r>
      <w:r w:rsidR="00322BAA">
        <w:rPr>
          <w:rFonts w:ascii="Arial" w:hAnsi="Arial" w:cs="Arial"/>
          <w:sz w:val="20"/>
          <w:szCs w:val="20"/>
          <w:lang w:val="en-US"/>
        </w:rPr>
        <w:t>Agent-Based Model</w:t>
      </w:r>
    </w:p>
    <w:p w14:paraId="2871455A" w14:textId="7FEA10B3" w:rsidR="005747E0" w:rsidRPr="00333B78" w:rsidRDefault="00574743" w:rsidP="008A36AA">
      <w:pPr>
        <w:spacing w:line="276" w:lineRule="auto"/>
        <w:jc w:val="both"/>
        <w:rPr>
          <w:rFonts w:ascii="Arial" w:hAnsi="Arial" w:cs="Arial"/>
          <w:sz w:val="18"/>
          <w:szCs w:val="18"/>
          <w:lang w:val="en-US"/>
        </w:rPr>
      </w:pPr>
      <w:r w:rsidRPr="00333B78">
        <w:rPr>
          <w:rFonts w:ascii="Arial" w:hAnsi="Arial" w:cs="Arial"/>
          <w:b/>
          <w:i/>
          <w:color w:val="000000" w:themeColor="text1"/>
          <w:sz w:val="20"/>
          <w:szCs w:val="20"/>
          <w:lang w:val="en-US"/>
        </w:rPr>
        <w:t>JEL classification:</w:t>
      </w:r>
      <w:r w:rsidR="00E87DEF" w:rsidRPr="00333B78">
        <w:rPr>
          <w:rFonts w:ascii="Arial" w:hAnsi="Arial" w:cs="Arial"/>
          <w:b/>
          <w:i/>
          <w:color w:val="000000" w:themeColor="text1"/>
          <w:sz w:val="20"/>
          <w:szCs w:val="20"/>
          <w:lang w:val="en-US"/>
        </w:rPr>
        <w:t xml:space="preserve"> </w:t>
      </w:r>
      <w:r w:rsidR="001D570C" w:rsidRPr="00333B78">
        <w:rPr>
          <w:rFonts w:ascii="Arial" w:hAnsi="Arial" w:cs="Arial"/>
          <w:color w:val="000000" w:themeColor="text1"/>
          <w:sz w:val="18"/>
          <w:szCs w:val="18"/>
          <w:lang w:val="en-US"/>
        </w:rPr>
        <w:t>C63, G170</w:t>
      </w:r>
      <w:r w:rsidR="002B0C3C" w:rsidRPr="00333B78">
        <w:rPr>
          <w:rFonts w:ascii="Arial" w:hAnsi="Arial" w:cs="Arial"/>
          <w:color w:val="000000" w:themeColor="text1"/>
          <w:sz w:val="18"/>
          <w:szCs w:val="18"/>
          <w:lang w:val="en-US"/>
        </w:rPr>
        <w:t>, R20</w:t>
      </w:r>
    </w:p>
    <w:p w14:paraId="64BA1EEE" w14:textId="77777777" w:rsidR="006E6C83" w:rsidRDefault="006E6C83">
      <w:pPr>
        <w:rPr>
          <w:rFonts w:ascii="Arial" w:hAnsi="Arial" w:cs="Arial"/>
          <w:sz w:val="28"/>
          <w:lang w:val="en-US"/>
        </w:rPr>
      </w:pPr>
    </w:p>
    <w:p w14:paraId="12C5590C" w14:textId="77777777" w:rsidR="006E6C83" w:rsidRDefault="006E6C83">
      <w:pPr>
        <w:rPr>
          <w:rFonts w:ascii="Arial" w:hAnsi="Arial" w:cs="Arial"/>
          <w:sz w:val="28"/>
          <w:lang w:val="en-US"/>
        </w:rPr>
      </w:pPr>
    </w:p>
    <w:p w14:paraId="3EE346A9" w14:textId="77777777" w:rsidR="006E6C83" w:rsidRPr="009F4B48" w:rsidRDefault="006E6C83" w:rsidP="006E6C83">
      <w:pPr>
        <w:rPr>
          <w:rFonts w:ascii="Arial" w:hAnsi="Arial" w:cs="Arial"/>
          <w:sz w:val="22"/>
          <w:szCs w:val="22"/>
          <w:lang w:val="en-US"/>
        </w:rPr>
      </w:pPr>
      <w:r w:rsidRPr="009F4B48">
        <w:rPr>
          <w:rFonts w:ascii="Arial" w:hAnsi="Arial" w:cs="Arial"/>
          <w:sz w:val="22"/>
          <w:szCs w:val="22"/>
          <w:lang w:val="en-US"/>
        </w:rPr>
        <w:t>Google Scholar</w:t>
      </w:r>
    </w:p>
    <w:p w14:paraId="301A8AAD" w14:textId="77777777" w:rsidR="006E6C83" w:rsidRPr="00B1748A" w:rsidRDefault="006E6C83" w:rsidP="006E6C83">
      <w:pPr>
        <w:rPr>
          <w:rFonts w:ascii="Arial" w:hAnsi="Arial" w:cs="Arial"/>
          <w:sz w:val="22"/>
          <w:szCs w:val="22"/>
          <w:lang w:val="it-IT"/>
        </w:rPr>
      </w:pPr>
      <w:r w:rsidRPr="00B1748A">
        <w:rPr>
          <w:rFonts w:ascii="Arial" w:hAnsi="Arial" w:cs="Arial"/>
          <w:sz w:val="22"/>
          <w:szCs w:val="22"/>
          <w:lang w:val="it-IT"/>
        </w:rPr>
        <w:t>Microsoft Academic</w:t>
      </w:r>
    </w:p>
    <w:p w14:paraId="0546DB0E" w14:textId="77777777" w:rsidR="006E6C83" w:rsidRPr="00B1748A" w:rsidRDefault="006E6C83" w:rsidP="006E6C83">
      <w:pPr>
        <w:rPr>
          <w:rFonts w:ascii="Arial" w:hAnsi="Arial" w:cs="Arial"/>
          <w:sz w:val="22"/>
          <w:szCs w:val="22"/>
          <w:lang w:val="it-IT"/>
        </w:rPr>
      </w:pPr>
      <w:r w:rsidRPr="00B1748A">
        <w:rPr>
          <w:rFonts w:ascii="Arial" w:hAnsi="Arial" w:cs="Arial"/>
          <w:sz w:val="22"/>
          <w:szCs w:val="22"/>
          <w:lang w:val="it-IT"/>
        </w:rPr>
        <w:t>ScienceDirect</w:t>
      </w:r>
    </w:p>
    <w:p w14:paraId="0A4E5126" w14:textId="77777777" w:rsidR="006E6C83" w:rsidRPr="00B1748A" w:rsidRDefault="006E6C83" w:rsidP="006E6C83">
      <w:pPr>
        <w:rPr>
          <w:rFonts w:ascii="Arial" w:hAnsi="Arial" w:cs="Arial"/>
          <w:sz w:val="22"/>
          <w:szCs w:val="22"/>
          <w:lang w:val="it-IT"/>
        </w:rPr>
      </w:pPr>
      <w:r w:rsidRPr="00B1748A">
        <w:rPr>
          <w:rFonts w:ascii="Arial" w:hAnsi="Arial" w:cs="Arial"/>
          <w:sz w:val="22"/>
          <w:szCs w:val="22"/>
          <w:lang w:val="it-IT"/>
        </w:rPr>
        <w:t>SSRN</w:t>
      </w:r>
    </w:p>
    <w:p w14:paraId="798BE6F5" w14:textId="77777777" w:rsidR="006E6C83" w:rsidRPr="00B1748A" w:rsidRDefault="006E6C83" w:rsidP="006E6C83">
      <w:pPr>
        <w:rPr>
          <w:rFonts w:ascii="Arial" w:hAnsi="Arial" w:cs="Arial"/>
          <w:sz w:val="22"/>
          <w:szCs w:val="22"/>
          <w:lang w:val="it-IT"/>
        </w:rPr>
      </w:pPr>
      <w:r w:rsidRPr="00B1748A">
        <w:rPr>
          <w:rFonts w:ascii="Arial" w:hAnsi="Arial" w:cs="Arial"/>
          <w:sz w:val="22"/>
          <w:szCs w:val="22"/>
          <w:lang w:val="it-IT"/>
        </w:rPr>
        <w:t>https://arxiv.org/</w:t>
      </w:r>
    </w:p>
    <w:p w14:paraId="482BAEF5" w14:textId="49D97B02" w:rsidR="008C2333" w:rsidRDefault="00B1748A" w:rsidP="006E6C83">
      <w:pPr>
        <w:rPr>
          <w:rFonts w:ascii="Arial" w:hAnsi="Arial" w:cs="Arial"/>
          <w:sz w:val="22"/>
          <w:szCs w:val="22"/>
          <w:lang w:val="en-US"/>
        </w:rPr>
      </w:pPr>
      <w:r>
        <w:rPr>
          <w:rFonts w:ascii="Arial" w:hAnsi="Arial" w:cs="Arial"/>
          <w:sz w:val="22"/>
          <w:szCs w:val="22"/>
          <w:lang w:val="en-US"/>
        </w:rPr>
        <w:t>swisscovery RZS</w:t>
      </w:r>
    </w:p>
    <w:p w14:paraId="12A3A5E7" w14:textId="77777777" w:rsidR="008C2333" w:rsidRPr="008C2333" w:rsidRDefault="008C2333" w:rsidP="006E6C83">
      <w:pPr>
        <w:rPr>
          <w:rFonts w:ascii="Arial" w:hAnsi="Arial" w:cs="Arial"/>
          <w:sz w:val="22"/>
          <w:szCs w:val="22"/>
          <w:lang w:val="en-US"/>
        </w:rPr>
      </w:pPr>
    </w:p>
    <w:p w14:paraId="2F01A1A7" w14:textId="77777777" w:rsidR="00B1748A" w:rsidRDefault="00B1748A" w:rsidP="006E6C83">
      <w:pPr>
        <w:rPr>
          <w:rFonts w:ascii="Arial" w:hAnsi="Arial" w:cs="Arial"/>
          <w:sz w:val="22"/>
          <w:szCs w:val="22"/>
          <w:lang w:val="en-US"/>
        </w:rPr>
      </w:pPr>
      <w:r>
        <w:rPr>
          <w:rFonts w:ascii="Arial" w:hAnsi="Arial" w:cs="Arial"/>
          <w:sz w:val="22"/>
          <w:szCs w:val="22"/>
          <w:lang w:val="en-US"/>
        </w:rPr>
        <w:t>To Do:</w:t>
      </w:r>
    </w:p>
    <w:p w14:paraId="18812A1B" w14:textId="77777777" w:rsidR="00B1748A" w:rsidRPr="00B1748A" w:rsidRDefault="00F97C55" w:rsidP="00B1748A">
      <w:pPr>
        <w:rPr>
          <w:rFonts w:ascii="Calibri" w:hAnsi="Calibri"/>
          <w:sz w:val="22"/>
          <w:szCs w:val="22"/>
          <w:lang w:val="en-US"/>
        </w:rPr>
      </w:pPr>
      <w:hyperlink r:id="rId8" w:history="1">
        <w:r w:rsidR="00B1748A">
          <w:rPr>
            <w:rStyle w:val="Hyperlink"/>
          </w:rPr>
          <w:t>https://www.social-complexity.com/</w:t>
        </w:r>
      </w:hyperlink>
    </w:p>
    <w:p w14:paraId="316DB842" w14:textId="77777777" w:rsidR="00B1748A" w:rsidRDefault="00B1748A" w:rsidP="006E6C83">
      <w:pPr>
        <w:rPr>
          <w:rFonts w:ascii="Arial" w:hAnsi="Arial" w:cs="Arial"/>
          <w:sz w:val="28"/>
          <w:lang w:val="en-US"/>
        </w:rPr>
      </w:pPr>
    </w:p>
    <w:p w14:paraId="01A63D56" w14:textId="2BDFC0C2" w:rsidR="00B1748A" w:rsidRDefault="00F97C55" w:rsidP="00B1748A">
      <w:pPr>
        <w:rPr>
          <w:rStyle w:val="Hyperlink"/>
          <w:lang w:val="en-US"/>
        </w:rPr>
      </w:pPr>
      <w:hyperlink r:id="rId9" w:history="1">
        <w:r w:rsidR="00B1748A">
          <w:rPr>
            <w:rStyle w:val="Hyperlink"/>
            <w:lang w:val="en-US"/>
          </w:rPr>
          <w:t>https://www.stephenwolfram.com/about/</w:t>
        </w:r>
      </w:hyperlink>
    </w:p>
    <w:p w14:paraId="41F291B7" w14:textId="11CCFF03" w:rsidR="00F10E07" w:rsidRDefault="00F10E07" w:rsidP="00B1748A">
      <w:pPr>
        <w:rPr>
          <w:rStyle w:val="Hyperlink"/>
          <w:lang w:val="en-US"/>
        </w:rPr>
      </w:pPr>
    </w:p>
    <w:p w14:paraId="005FCE4A" w14:textId="61454132" w:rsidR="00F10E07" w:rsidRDefault="00F10E07" w:rsidP="00B1748A">
      <w:pPr>
        <w:rPr>
          <w:rFonts w:ascii="Calibri" w:hAnsi="Calibri"/>
          <w:sz w:val="22"/>
          <w:szCs w:val="22"/>
          <w:lang w:val="en-US"/>
        </w:rPr>
      </w:pPr>
      <w:r w:rsidRPr="00F10E07">
        <w:rPr>
          <w:rFonts w:ascii="Calibri" w:hAnsi="Calibri"/>
          <w:sz w:val="22"/>
          <w:szCs w:val="22"/>
          <w:lang w:val="en-US"/>
        </w:rPr>
        <w:t>https://verbosus.com/bibtex-style-examples.html</w:t>
      </w:r>
    </w:p>
    <w:p w14:paraId="2041412B" w14:textId="4FB6C343" w:rsidR="00A677FF" w:rsidRDefault="00A677FF" w:rsidP="006E6C83">
      <w:pPr>
        <w:rPr>
          <w:rFonts w:ascii="Arial" w:eastAsiaTheme="majorEastAsia" w:hAnsi="Arial" w:cs="Arial"/>
          <w:b/>
          <w:bCs/>
          <w:sz w:val="28"/>
          <w:szCs w:val="32"/>
          <w:lang w:val="en-US"/>
        </w:rPr>
      </w:pPr>
      <w:r>
        <w:rPr>
          <w:rFonts w:ascii="Arial" w:hAnsi="Arial" w:cs="Arial"/>
          <w:sz w:val="28"/>
          <w:lang w:val="en-US"/>
        </w:rPr>
        <w:br w:type="page"/>
      </w:r>
    </w:p>
    <w:p w14:paraId="6B9D2E44" w14:textId="252F3CEE" w:rsidR="00967B63" w:rsidRPr="005168CF" w:rsidRDefault="00967B63" w:rsidP="00625536">
      <w:pPr>
        <w:pStyle w:val="Heading1"/>
        <w:numPr>
          <w:ilvl w:val="0"/>
          <w:numId w:val="19"/>
        </w:numPr>
        <w:spacing w:line="276" w:lineRule="auto"/>
        <w:jc w:val="both"/>
        <w:rPr>
          <w:rFonts w:ascii="Arial" w:hAnsi="Arial" w:cs="Arial"/>
          <w:color w:val="auto"/>
          <w:sz w:val="28"/>
          <w:lang w:val="en-US"/>
        </w:rPr>
      </w:pPr>
      <w:r w:rsidRPr="005168CF">
        <w:rPr>
          <w:rFonts w:ascii="Arial" w:hAnsi="Arial" w:cs="Arial"/>
          <w:color w:val="auto"/>
          <w:sz w:val="28"/>
          <w:lang w:val="en-US"/>
        </w:rPr>
        <w:lastRenderedPageBreak/>
        <w:t>Introduction</w:t>
      </w:r>
    </w:p>
    <w:p w14:paraId="246151E8" w14:textId="77777777" w:rsidR="001275FA" w:rsidRDefault="001275FA" w:rsidP="00625536">
      <w:pPr>
        <w:spacing w:line="276" w:lineRule="auto"/>
        <w:jc w:val="both"/>
        <w:rPr>
          <w:rFonts w:ascii="Arial" w:hAnsi="Arial" w:cs="Arial"/>
          <w:lang w:val="en-US"/>
        </w:rPr>
      </w:pPr>
    </w:p>
    <w:p w14:paraId="4DEA9FA5" w14:textId="4B666B26"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Positioning</w:t>
      </w:r>
    </w:p>
    <w:p w14:paraId="13597005" w14:textId="5937733B"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Gap</w:t>
      </w:r>
    </w:p>
    <w:p w14:paraId="35C513A1" w14:textId="741C222F"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Purpose</w:t>
      </w:r>
    </w:p>
    <w:p w14:paraId="54CF4E92" w14:textId="37A82CC0"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Central argument</w:t>
      </w:r>
    </w:p>
    <w:p w14:paraId="75D9015A" w14:textId="5285EE04"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Organizing</w:t>
      </w:r>
    </w:p>
    <w:p w14:paraId="5E609DC8" w14:textId="2B9477CD"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Contribution</w:t>
      </w:r>
    </w:p>
    <w:p w14:paraId="55FBEADC" w14:textId="3B91F7E5" w:rsidR="001D6534" w:rsidRPr="001D6534" w:rsidRDefault="001D6534" w:rsidP="001D6534">
      <w:pPr>
        <w:spacing w:line="276" w:lineRule="auto"/>
        <w:jc w:val="both"/>
        <w:rPr>
          <w:rFonts w:ascii="Arial" w:hAnsi="Arial" w:cs="Arial"/>
          <w:i/>
          <w:lang w:val="en-US"/>
        </w:rPr>
      </w:pPr>
      <w:r w:rsidRPr="001D6534">
        <w:rPr>
          <w:rFonts w:ascii="Arial" w:hAnsi="Arial" w:cs="Arial"/>
          <w:i/>
          <w:lang w:val="en-US"/>
        </w:rPr>
        <w:t>So what?</w:t>
      </w:r>
    </w:p>
    <w:p w14:paraId="5E0DFE3E" w14:textId="77777777" w:rsidR="001D6534" w:rsidRDefault="001D6534" w:rsidP="00625536">
      <w:pPr>
        <w:spacing w:line="276" w:lineRule="auto"/>
        <w:jc w:val="both"/>
        <w:rPr>
          <w:rFonts w:ascii="Arial" w:hAnsi="Arial" w:cs="Arial"/>
          <w:lang w:val="en-US"/>
        </w:rPr>
      </w:pPr>
    </w:p>
    <w:p w14:paraId="1409B420" w14:textId="14B360F6" w:rsidR="007C4518" w:rsidRPr="005168CF" w:rsidRDefault="007C4518" w:rsidP="00625536">
      <w:pPr>
        <w:pStyle w:val="Heading1"/>
        <w:numPr>
          <w:ilvl w:val="0"/>
          <w:numId w:val="19"/>
        </w:numPr>
        <w:spacing w:line="276" w:lineRule="auto"/>
        <w:jc w:val="both"/>
        <w:rPr>
          <w:rFonts w:ascii="Arial" w:hAnsi="Arial" w:cs="Arial"/>
          <w:color w:val="auto"/>
          <w:sz w:val="28"/>
          <w:szCs w:val="28"/>
          <w:lang w:val="en-US"/>
        </w:rPr>
      </w:pPr>
      <w:r w:rsidRPr="005168CF">
        <w:rPr>
          <w:rFonts w:ascii="Arial" w:hAnsi="Arial" w:cs="Arial"/>
          <w:color w:val="auto"/>
          <w:sz w:val="28"/>
          <w:szCs w:val="28"/>
          <w:lang w:val="en-US"/>
        </w:rPr>
        <w:t>Literature review</w:t>
      </w:r>
    </w:p>
    <w:p w14:paraId="65D4DB6B" w14:textId="77777777" w:rsidR="009C24D0" w:rsidRPr="005168CF" w:rsidRDefault="009C24D0" w:rsidP="00625536">
      <w:pPr>
        <w:jc w:val="both"/>
        <w:rPr>
          <w:rFonts w:ascii="Arial" w:hAnsi="Arial" w:cs="Arial"/>
          <w:lang w:val="en-US"/>
        </w:rPr>
      </w:pPr>
    </w:p>
    <w:p w14:paraId="6FFEAC0F" w14:textId="79C7352D" w:rsidR="009C24D0" w:rsidRPr="005168CF" w:rsidRDefault="009C24D0" w:rsidP="00625536">
      <w:pPr>
        <w:jc w:val="both"/>
        <w:rPr>
          <w:rFonts w:ascii="Arial" w:hAnsi="Arial" w:cs="Arial"/>
          <w:i/>
          <w:lang w:val="en-US"/>
        </w:rPr>
      </w:pPr>
      <w:r w:rsidRPr="005168CF">
        <w:rPr>
          <w:rFonts w:ascii="Arial" w:hAnsi="Arial" w:cs="Arial"/>
          <w:i/>
          <w:lang w:val="en-US"/>
        </w:rPr>
        <w:t>Background</w:t>
      </w:r>
    </w:p>
    <w:p w14:paraId="31F27442" w14:textId="35FF37C0" w:rsidR="009C24D0" w:rsidRPr="00056A44" w:rsidRDefault="009C24D0" w:rsidP="00056A44">
      <w:pPr>
        <w:jc w:val="both"/>
        <w:rPr>
          <w:rFonts w:ascii="Arial" w:hAnsi="Arial" w:cs="Arial"/>
          <w:i/>
          <w:lang w:val="en-US"/>
        </w:rPr>
      </w:pPr>
      <w:r w:rsidRPr="00056A44">
        <w:rPr>
          <w:rFonts w:ascii="Arial" w:hAnsi="Arial" w:cs="Arial"/>
          <w:i/>
          <w:lang w:val="en-US"/>
        </w:rPr>
        <w:t>Conceptual scope</w:t>
      </w:r>
    </w:p>
    <w:p w14:paraId="76BC6F1A" w14:textId="7E9A7E64" w:rsidR="009C24D0" w:rsidRPr="00056A44" w:rsidRDefault="009C24D0" w:rsidP="00056A44">
      <w:pPr>
        <w:jc w:val="both"/>
        <w:rPr>
          <w:rFonts w:ascii="Arial" w:hAnsi="Arial" w:cs="Arial"/>
          <w:i/>
          <w:lang w:val="en-US"/>
        </w:rPr>
      </w:pPr>
      <w:r w:rsidRPr="00056A44">
        <w:rPr>
          <w:rFonts w:ascii="Arial" w:hAnsi="Arial" w:cs="Arial"/>
          <w:i/>
          <w:lang w:val="en-US"/>
        </w:rPr>
        <w:t>Definitions</w:t>
      </w:r>
    </w:p>
    <w:p w14:paraId="1B0A8B9B" w14:textId="77B81B66" w:rsidR="009C24D0" w:rsidRPr="00056A44" w:rsidRDefault="009C24D0" w:rsidP="00056A44">
      <w:pPr>
        <w:jc w:val="both"/>
        <w:rPr>
          <w:rFonts w:ascii="Arial" w:hAnsi="Arial" w:cs="Arial"/>
          <w:i/>
          <w:lang w:val="en-US"/>
        </w:rPr>
      </w:pPr>
      <w:r w:rsidRPr="00056A44">
        <w:rPr>
          <w:rFonts w:ascii="Arial" w:hAnsi="Arial" w:cs="Arial"/>
          <w:i/>
          <w:lang w:val="en-US"/>
        </w:rPr>
        <w:t>Existing explanations</w:t>
      </w:r>
    </w:p>
    <w:p w14:paraId="10E9E30D" w14:textId="297CE08C" w:rsidR="009C24D0" w:rsidRPr="00056A44" w:rsidRDefault="009C24D0" w:rsidP="00056A44">
      <w:pPr>
        <w:jc w:val="both"/>
        <w:rPr>
          <w:rFonts w:ascii="Arial" w:hAnsi="Arial" w:cs="Arial"/>
          <w:i/>
          <w:lang w:val="en-US"/>
        </w:rPr>
      </w:pPr>
      <w:r w:rsidRPr="00056A44">
        <w:rPr>
          <w:rFonts w:ascii="Arial" w:hAnsi="Arial" w:cs="Arial"/>
          <w:i/>
          <w:lang w:val="en-US"/>
        </w:rPr>
        <w:t>Critique</w:t>
      </w:r>
    </w:p>
    <w:p w14:paraId="346533B1" w14:textId="4F82769E" w:rsidR="009C24D0" w:rsidRPr="00056A44" w:rsidRDefault="009C24D0" w:rsidP="00056A44">
      <w:pPr>
        <w:jc w:val="both"/>
        <w:rPr>
          <w:rFonts w:ascii="Arial" w:hAnsi="Arial" w:cs="Arial"/>
          <w:i/>
          <w:lang w:val="en-US"/>
        </w:rPr>
      </w:pPr>
      <w:r w:rsidRPr="00056A44">
        <w:rPr>
          <w:rFonts w:ascii="Arial" w:hAnsi="Arial" w:cs="Arial"/>
          <w:i/>
          <w:lang w:val="en-US"/>
        </w:rPr>
        <w:t>Open questions = current focus</w:t>
      </w:r>
    </w:p>
    <w:p w14:paraId="2CEAA388" w14:textId="3235BEC6" w:rsidR="000B4C4C" w:rsidRPr="000B4C4C" w:rsidRDefault="000B4C4C" w:rsidP="000B4C4C">
      <w:pPr>
        <w:jc w:val="both"/>
        <w:rPr>
          <w:rFonts w:ascii="Arial" w:hAnsi="Arial" w:cs="Arial"/>
          <w:highlight w:val="yellow"/>
          <w:lang w:val="en-US"/>
        </w:rPr>
      </w:pPr>
    </w:p>
    <w:p w14:paraId="4754FFED" w14:textId="77777777" w:rsidR="00C175FF" w:rsidRPr="005168CF" w:rsidRDefault="00C175FF" w:rsidP="00625536">
      <w:pPr>
        <w:jc w:val="both"/>
        <w:rPr>
          <w:rFonts w:ascii="Arial" w:hAnsi="Arial" w:cs="Arial"/>
          <w:i/>
          <w:lang w:val="en-US"/>
        </w:rPr>
      </w:pPr>
    </w:p>
    <w:p w14:paraId="7DB0B1B6" w14:textId="21657635" w:rsidR="001F6317" w:rsidRDefault="00254D4C" w:rsidP="001F6317">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Financial Markets</w:t>
      </w:r>
    </w:p>
    <w:p w14:paraId="5765A97E" w14:textId="77777777" w:rsidR="00254D4C" w:rsidRDefault="00254D4C" w:rsidP="00254D4C">
      <w:pPr>
        <w:jc w:val="both"/>
        <w:rPr>
          <w:rFonts w:ascii="Arial" w:hAnsi="Arial" w:cs="Arial"/>
          <w:lang w:val="en-US"/>
        </w:rPr>
      </w:pPr>
    </w:p>
    <w:p w14:paraId="1455B731" w14:textId="113ECE2D" w:rsidR="00E30D3D" w:rsidRPr="001E745C" w:rsidRDefault="00E30D3D" w:rsidP="00E30D3D">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Agent Based Models</w:t>
      </w:r>
    </w:p>
    <w:p w14:paraId="148E0CFF" w14:textId="77777777" w:rsidR="003620DF" w:rsidRDefault="003620DF" w:rsidP="003620DF">
      <w:pPr>
        <w:jc w:val="both"/>
        <w:rPr>
          <w:rFonts w:ascii="Arial" w:hAnsi="Arial" w:cs="Arial"/>
          <w:lang w:val="en-US"/>
        </w:rPr>
      </w:pPr>
    </w:p>
    <w:p w14:paraId="44299434" w14:textId="17B6763D" w:rsidR="00AA00E9" w:rsidRDefault="00AA00E9" w:rsidP="00AA00E9">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Oil</w:t>
      </w:r>
    </w:p>
    <w:p w14:paraId="064B8EAB" w14:textId="6F5AFF44" w:rsidR="00AA00E9" w:rsidRPr="003B65C1" w:rsidRDefault="00AA00E9" w:rsidP="003B65C1">
      <w:pPr>
        <w:jc w:val="both"/>
        <w:rPr>
          <w:rFonts w:ascii="Arial" w:hAnsi="Arial" w:cs="Arial"/>
          <w:lang w:val="en-US"/>
        </w:rPr>
      </w:pPr>
    </w:p>
    <w:p w14:paraId="10FFB94F" w14:textId="64877B3C" w:rsidR="003B65C1" w:rsidRPr="003B65C1" w:rsidRDefault="003B65C1" w:rsidP="003B65C1">
      <w:pPr>
        <w:jc w:val="both"/>
        <w:rPr>
          <w:rFonts w:ascii="Arial" w:hAnsi="Arial" w:cs="Arial"/>
          <w:lang w:val="en-US"/>
        </w:rPr>
      </w:pPr>
      <w:r w:rsidRPr="00FB1FCB">
        <w:rPr>
          <w:rFonts w:ascii="Arial" w:hAnsi="Arial" w:cs="Arial"/>
          <w:lang w:val="en-US"/>
        </w:rPr>
        <w:t xml:space="preserve">Ellen </w:t>
      </w:r>
      <w:r>
        <w:rPr>
          <w:rFonts w:ascii="Arial" w:hAnsi="Arial" w:cs="Arial"/>
          <w:lang w:val="en-US"/>
        </w:rPr>
        <w:t>and</w:t>
      </w:r>
      <w:r w:rsidRPr="00FB1FCB">
        <w:rPr>
          <w:rFonts w:ascii="Arial" w:hAnsi="Arial" w:cs="Arial"/>
          <w:lang w:val="en-US"/>
        </w:rPr>
        <w:t xml:space="preserve"> Zwinkels</w:t>
      </w:r>
      <w:r>
        <w:rPr>
          <w:rFonts w:ascii="Arial" w:hAnsi="Arial" w:cs="Arial"/>
          <w:lang w:val="en-US"/>
        </w:rPr>
        <w:t xml:space="preserve"> (</w:t>
      </w:r>
      <w:r w:rsidRPr="00FB1FCB">
        <w:rPr>
          <w:rFonts w:ascii="Arial" w:hAnsi="Arial" w:cs="Arial"/>
          <w:lang w:val="en-US"/>
        </w:rPr>
        <w:t>2010)</w:t>
      </w:r>
      <w:r>
        <w:rPr>
          <w:rFonts w:ascii="Arial" w:hAnsi="Arial" w:cs="Arial"/>
          <w:lang w:val="en-US"/>
        </w:rPr>
        <w:t xml:space="preserve"> </w:t>
      </w:r>
      <w:r w:rsidRPr="003B65C1">
        <w:rPr>
          <w:rFonts w:ascii="Arial" w:hAnsi="Arial" w:cs="Arial"/>
          <w:lang w:val="en-US"/>
        </w:rPr>
        <w:t xml:space="preserve">develop a heterogeneous agent model for the oil market. </w:t>
      </w:r>
      <w:r>
        <w:rPr>
          <w:rFonts w:ascii="Arial" w:hAnsi="Arial" w:cs="Arial"/>
          <w:lang w:val="en-US"/>
        </w:rPr>
        <w:t xml:space="preserve">Decisions </w:t>
      </w:r>
      <w:r w:rsidRPr="003B65C1">
        <w:rPr>
          <w:rFonts w:ascii="Arial" w:hAnsi="Arial" w:cs="Arial"/>
          <w:lang w:val="en-US"/>
        </w:rPr>
        <w:t xml:space="preserve">are formed by fundamentalist </w:t>
      </w:r>
      <w:r>
        <w:rPr>
          <w:rFonts w:ascii="Arial" w:hAnsi="Arial" w:cs="Arial"/>
          <w:lang w:val="en-US"/>
        </w:rPr>
        <w:t>or</w:t>
      </w:r>
      <w:r w:rsidRPr="003B65C1">
        <w:rPr>
          <w:rFonts w:ascii="Arial" w:hAnsi="Arial" w:cs="Arial"/>
          <w:lang w:val="en-US"/>
        </w:rPr>
        <w:t xml:space="preserve"> chartist. </w:t>
      </w:r>
      <w:r w:rsidR="00321960">
        <w:rPr>
          <w:rFonts w:ascii="Arial" w:hAnsi="Arial" w:cs="Arial"/>
          <w:lang w:val="en-US"/>
        </w:rPr>
        <w:t>F</w:t>
      </w:r>
      <w:r w:rsidRPr="003B65C1">
        <w:rPr>
          <w:rFonts w:ascii="Arial" w:hAnsi="Arial" w:cs="Arial"/>
          <w:lang w:val="en-US"/>
        </w:rPr>
        <w:t>undamentalists trade on mean-reversion</w:t>
      </w:r>
      <w:r w:rsidR="00321960">
        <w:rPr>
          <w:rFonts w:ascii="Arial" w:hAnsi="Arial" w:cs="Arial"/>
          <w:lang w:val="en-US"/>
        </w:rPr>
        <w:t xml:space="preserve"> of the moving average over a period of 24 months. C</w:t>
      </w:r>
      <w:r w:rsidRPr="003B65C1">
        <w:rPr>
          <w:rFonts w:ascii="Arial" w:hAnsi="Arial" w:cs="Arial"/>
          <w:lang w:val="en-US"/>
        </w:rPr>
        <w:t>hartists follow the trend in</w:t>
      </w:r>
      <w:r>
        <w:rPr>
          <w:rFonts w:ascii="Arial" w:hAnsi="Arial" w:cs="Arial"/>
          <w:lang w:val="en-US"/>
        </w:rPr>
        <w:t xml:space="preserve"> </w:t>
      </w:r>
      <w:r w:rsidRPr="003B65C1">
        <w:rPr>
          <w:rFonts w:ascii="Arial" w:hAnsi="Arial" w:cs="Arial"/>
          <w:lang w:val="en-US"/>
        </w:rPr>
        <w:t xml:space="preserve">prices. Speculators then choose between these rules based on past profitability. The model outperforms both the random walk and </w:t>
      </w:r>
      <w:r w:rsidR="002A1F02">
        <w:rPr>
          <w:rFonts w:ascii="Arial" w:hAnsi="Arial" w:cs="Arial"/>
          <w:lang w:val="en-US"/>
        </w:rPr>
        <w:t>vector autoregressive</w:t>
      </w:r>
      <w:r w:rsidRPr="003B65C1">
        <w:rPr>
          <w:rFonts w:ascii="Arial" w:hAnsi="Arial" w:cs="Arial"/>
          <w:lang w:val="en-US"/>
        </w:rPr>
        <w:t xml:space="preserve"> models in out-of-sample forecasting.</w:t>
      </w:r>
      <w:r w:rsidR="000C2CBF">
        <w:rPr>
          <w:rFonts w:ascii="Arial" w:hAnsi="Arial" w:cs="Arial"/>
          <w:lang w:val="en-US"/>
        </w:rPr>
        <w:t xml:space="preserve"> The </w:t>
      </w:r>
      <w:r w:rsidR="005E1BF3">
        <w:rPr>
          <w:rFonts w:ascii="Arial" w:hAnsi="Arial" w:cs="Arial"/>
          <w:lang w:val="en-US"/>
        </w:rPr>
        <w:t xml:space="preserve">agent-based </w:t>
      </w:r>
      <w:r w:rsidR="000C2CBF">
        <w:rPr>
          <w:rFonts w:ascii="Arial" w:hAnsi="Arial" w:cs="Arial"/>
          <w:lang w:val="en-US"/>
        </w:rPr>
        <w:t>model of Karimi and Maleki (2018) bases on 6 different rules to make price and trend predictions</w:t>
      </w:r>
      <w:r w:rsidR="005E1BF3">
        <w:rPr>
          <w:rFonts w:ascii="Arial" w:hAnsi="Arial" w:cs="Arial"/>
          <w:lang w:val="en-US"/>
        </w:rPr>
        <w:t xml:space="preserve"> of oil</w:t>
      </w:r>
      <w:r w:rsidR="000C2CBF">
        <w:rPr>
          <w:rFonts w:ascii="Arial" w:hAnsi="Arial" w:cs="Arial"/>
          <w:lang w:val="en-US"/>
        </w:rPr>
        <w:t xml:space="preserve">: weekly U.S. commercial crude oil stocks, monthly OECD </w:t>
      </w:r>
      <w:r w:rsidR="005E1BF3">
        <w:rPr>
          <w:rFonts w:ascii="Arial" w:hAnsi="Arial" w:cs="Arial"/>
          <w:lang w:val="en-US"/>
        </w:rPr>
        <w:t>commercial crude oil stocks, daily USD/EUR exchange rate, simple moving average, exponential moving average, and Bollinger bands.</w:t>
      </w:r>
    </w:p>
    <w:p w14:paraId="44975ED8" w14:textId="77777777" w:rsidR="003B65C1" w:rsidRPr="003B65C1" w:rsidRDefault="003B65C1" w:rsidP="003B65C1">
      <w:pPr>
        <w:jc w:val="both"/>
        <w:rPr>
          <w:rFonts w:ascii="Arial" w:hAnsi="Arial" w:cs="Arial"/>
          <w:lang w:val="en-US"/>
        </w:rPr>
      </w:pPr>
    </w:p>
    <w:p w14:paraId="676E1C3B" w14:textId="24FB8B95"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SPI</w:t>
      </w:r>
    </w:p>
    <w:p w14:paraId="61269D15" w14:textId="2165132F" w:rsidR="00B00300" w:rsidRPr="005376EE" w:rsidRDefault="00B00300" w:rsidP="005376EE">
      <w:pPr>
        <w:jc w:val="both"/>
        <w:rPr>
          <w:rFonts w:ascii="Arial" w:hAnsi="Arial" w:cs="Arial"/>
          <w:lang w:val="en-US"/>
        </w:rPr>
      </w:pPr>
    </w:p>
    <w:p w14:paraId="6845F175" w14:textId="77777777" w:rsidR="00B00300" w:rsidRDefault="00B00300" w:rsidP="00B00300">
      <w:pPr>
        <w:jc w:val="both"/>
        <w:rPr>
          <w:rFonts w:ascii="Arial" w:hAnsi="Arial" w:cs="Arial"/>
          <w:lang w:val="en-US"/>
        </w:rPr>
      </w:pPr>
      <w:r w:rsidRPr="00B00300">
        <w:rPr>
          <w:rFonts w:ascii="Arial" w:hAnsi="Arial" w:cs="Arial"/>
          <w:lang w:val="en-US"/>
        </w:rPr>
        <w:t>Lillo, Moro, Vaglica and Mantegna (2008)</w:t>
      </w:r>
      <w:r w:rsidRPr="001D2C89">
        <w:rPr>
          <w:rFonts w:ascii="Arial" w:hAnsi="Arial" w:cs="Arial"/>
          <w:lang w:val="en-US"/>
        </w:rPr>
        <w:t xml:space="preserve"> present </w:t>
      </w:r>
      <w:r>
        <w:rPr>
          <w:rFonts w:ascii="Arial" w:hAnsi="Arial" w:cs="Arial"/>
          <w:lang w:val="en-US"/>
        </w:rPr>
        <w:t>behavioral data of the members of the Spanish Stock Exchange. They describe trend and contrarian types of agents. The agents show also herd behavior.</w:t>
      </w:r>
    </w:p>
    <w:p w14:paraId="2E47A67C" w14:textId="77777777" w:rsidR="005527D5" w:rsidRPr="005376EE" w:rsidRDefault="005527D5" w:rsidP="005376EE">
      <w:pPr>
        <w:jc w:val="both"/>
        <w:rPr>
          <w:rFonts w:ascii="Arial" w:hAnsi="Arial" w:cs="Arial"/>
          <w:lang w:val="en-US"/>
        </w:rPr>
      </w:pPr>
    </w:p>
    <w:p w14:paraId="063DEF56" w14:textId="41971BF4"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Swiss Bond Market</w:t>
      </w:r>
    </w:p>
    <w:p w14:paraId="0DCABED6" w14:textId="77777777" w:rsidR="005527D5" w:rsidRPr="005376EE" w:rsidRDefault="005527D5" w:rsidP="005376EE">
      <w:pPr>
        <w:jc w:val="both"/>
        <w:rPr>
          <w:rFonts w:ascii="Arial" w:hAnsi="Arial" w:cs="Arial"/>
          <w:lang w:val="en-US"/>
        </w:rPr>
      </w:pPr>
    </w:p>
    <w:p w14:paraId="111358F0" w14:textId="4C616A48"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lastRenderedPageBreak/>
        <w:t>Swiss Real Estate Market</w:t>
      </w:r>
    </w:p>
    <w:p w14:paraId="2A061F62" w14:textId="753BF00F" w:rsidR="00445388" w:rsidRPr="00445388" w:rsidRDefault="00445388" w:rsidP="00445388">
      <w:pPr>
        <w:spacing w:line="276" w:lineRule="auto"/>
        <w:jc w:val="both"/>
        <w:rPr>
          <w:rFonts w:ascii="Arial" w:hAnsi="Arial" w:cs="Arial"/>
          <w:lang w:val="en-US"/>
        </w:rPr>
      </w:pPr>
    </w:p>
    <w:p w14:paraId="4B906C4E" w14:textId="36060DA2" w:rsidR="003A7F8F" w:rsidRDefault="003A7F8F" w:rsidP="00F11057">
      <w:pPr>
        <w:jc w:val="both"/>
        <w:rPr>
          <w:rFonts w:ascii="Arial" w:hAnsi="Arial" w:cs="Arial"/>
          <w:lang w:val="en-US"/>
        </w:rPr>
      </w:pPr>
      <w:r w:rsidRPr="003A7F8F">
        <w:rPr>
          <w:rFonts w:ascii="Arial" w:hAnsi="Arial" w:cs="Arial"/>
          <w:lang w:val="en-US"/>
        </w:rPr>
        <w:t>Several studies describe agent-based models of housing markets (Geanakoplos et al. 2012; Jordan et al. 2012; Gilbert et al. 2009). Most of these models were built with the intention to help explain observable patterns such as spatial and social segregation, or spatial and temporal distributions of housing prices. These models typically combine demographic factors such as age distribution or family size with economic factors such as wealth distribution, income or level of debt. Sometimes, also psychological factors are included, for example value structures or changing fashions. From all these factors, agent behavior rules are deduced. Most of these models rely on a grid-like or map-based settlement representation with individual parcels and houses.</w:t>
      </w:r>
      <w:r>
        <w:rPr>
          <w:rFonts w:ascii="Arial" w:hAnsi="Arial" w:cs="Arial"/>
          <w:lang w:val="en-US"/>
        </w:rPr>
        <w:t xml:space="preserve"> </w:t>
      </w:r>
      <w:r w:rsidRPr="003A7F8F">
        <w:rPr>
          <w:rFonts w:ascii="Arial" w:hAnsi="Arial" w:cs="Arial"/>
          <w:lang w:val="en-US"/>
        </w:rPr>
        <w:t>Hedonic modelling, which also focuses on single real estate objects, is yet another, more traditional approach on which many real estate market studies rely. These studies typically try to derive information from aggregated data on real estate objects in a certain region or during a certain time period.</w:t>
      </w:r>
    </w:p>
    <w:p w14:paraId="404257E2" w14:textId="77777777" w:rsidR="00556B87" w:rsidRDefault="00556B87" w:rsidP="00556B87">
      <w:pPr>
        <w:jc w:val="both"/>
        <w:rPr>
          <w:rFonts w:ascii="Arial" w:hAnsi="Arial" w:cs="Arial"/>
          <w:lang w:val="en-US"/>
        </w:rPr>
      </w:pPr>
    </w:p>
    <w:p w14:paraId="53369278" w14:textId="066087B1" w:rsidR="00556B87" w:rsidRPr="00D82DD6" w:rsidRDefault="00556B87" w:rsidP="00556B87">
      <w:pPr>
        <w:jc w:val="both"/>
        <w:rPr>
          <w:rFonts w:ascii="Arial" w:hAnsi="Arial" w:cs="Arial"/>
          <w:lang w:val="en-US"/>
        </w:rPr>
      </w:pPr>
      <w:r w:rsidRPr="00D82DD6">
        <w:rPr>
          <w:rFonts w:ascii="Arial" w:hAnsi="Arial" w:cs="Arial"/>
          <w:lang w:val="en-US"/>
        </w:rPr>
        <w:t xml:space="preserve">The real estate market in Switzerland is attracting much attention at the moment. </w:t>
      </w:r>
      <w:r w:rsidRPr="00F11057">
        <w:rPr>
          <w:rFonts w:ascii="Arial" w:hAnsi="Arial" w:cs="Arial"/>
          <w:lang w:val="en-US"/>
        </w:rPr>
        <w:t>Whereas over the past few years rising prices have led to high returns for investors and very little defaults for creditors, more recently concerns about the formation of a speculative bubble followed by a corresponding correction have increased. The real estate market in Switzerland is characterized by illiquidity and high transaction costs.</w:t>
      </w:r>
    </w:p>
    <w:p w14:paraId="1F979E27" w14:textId="77777777" w:rsidR="003A7F8F" w:rsidRDefault="003A7F8F" w:rsidP="00F11057">
      <w:pPr>
        <w:jc w:val="both"/>
        <w:rPr>
          <w:rFonts w:ascii="Arial" w:hAnsi="Arial" w:cs="Arial"/>
          <w:lang w:val="en-US"/>
        </w:rPr>
      </w:pPr>
    </w:p>
    <w:p w14:paraId="4384AFFA" w14:textId="77777777" w:rsidR="00556B87" w:rsidRDefault="00556B87" w:rsidP="00F11057">
      <w:pPr>
        <w:jc w:val="both"/>
        <w:rPr>
          <w:rFonts w:ascii="Arial" w:hAnsi="Arial" w:cs="Arial"/>
          <w:lang w:val="en-US"/>
        </w:rPr>
      </w:pPr>
      <w:r w:rsidRPr="00556B87">
        <w:rPr>
          <w:rFonts w:ascii="Arial" w:hAnsi="Arial" w:cs="Arial"/>
          <w:lang w:val="en-US"/>
        </w:rPr>
        <w:t>The consequences of a real estate crash are dramatic for everyone involved, and it takes years to recover. The established risk management practice is to focus on the acquisition phase of new real estate objects. Effective adjustments to an already existing portfolio are only possible in a relatively stable market environment. Otherwise they can come at a very high price with the added risk of unwanted counter effects, for instance lowering market prices by selling high volumes of real estate objects. For this reason, strategic planning over a time horizon of five to ten years is essential. Doing so again requires adequate forecasting and analysis tools that offer more than simple single measure forecasts, and instead can capture the complex, dynamic dependencies between the various constituent market factors. This is where simulation models can help. Agent-based modelling generates virtual worlds for what-if scenario analysis and stress testing.</w:t>
      </w:r>
    </w:p>
    <w:p w14:paraId="00345EF9" w14:textId="77777777" w:rsidR="00556B87" w:rsidRDefault="00556B87" w:rsidP="003A7F8F">
      <w:pPr>
        <w:rPr>
          <w:rFonts w:ascii="Arial" w:hAnsi="Arial" w:cs="Arial"/>
          <w:lang w:val="en-US"/>
        </w:rPr>
      </w:pPr>
    </w:p>
    <w:p w14:paraId="42C0C37E" w14:textId="545FF484" w:rsidR="006F1EFF" w:rsidRDefault="006F1EFF" w:rsidP="003A7F8F">
      <w:pPr>
        <w:rPr>
          <w:rFonts w:ascii="Arial" w:hAnsi="Arial" w:cs="Arial"/>
          <w:lang w:val="en-US"/>
        </w:rPr>
      </w:pPr>
      <w:r w:rsidRPr="006F1EFF">
        <w:rPr>
          <w:rFonts w:ascii="Arial" w:hAnsi="Arial" w:cs="Arial"/>
          <w:lang w:val="en-US"/>
        </w:rPr>
        <w:t>Relevant investors are the 1654 pension funds with a balance sheet of CHF 988 bn. 2017, they have invested 9.5% of their assets in directly in Swiss real estate (8.2% Wohnimobilien and 1.3% Geschäftsimmobilien) and 7.6% indirectly over funds and stocks (OAK BV, 2018).</w:t>
      </w:r>
    </w:p>
    <w:p w14:paraId="220D83B3" w14:textId="7B8232EE" w:rsidR="004B143F" w:rsidRDefault="004B143F" w:rsidP="006F1EFF">
      <w:pPr>
        <w:rPr>
          <w:rFonts w:ascii="Arial" w:hAnsi="Arial" w:cs="Arial"/>
          <w:lang w:val="en-US"/>
        </w:rPr>
      </w:pPr>
    </w:p>
    <w:p w14:paraId="4CE8CA8C" w14:textId="2C33601A" w:rsidR="004B143F" w:rsidRPr="002F4F74" w:rsidRDefault="004B143F" w:rsidP="006F1EFF">
      <w:pPr>
        <w:rPr>
          <w:rFonts w:ascii="Arial" w:hAnsi="Arial" w:cs="Arial"/>
          <w:lang w:val="en-US"/>
        </w:rPr>
      </w:pPr>
      <w:r w:rsidRPr="004B143F">
        <w:rPr>
          <w:rFonts w:ascii="Arial" w:hAnsi="Arial" w:cs="Arial"/>
          <w:lang w:val="en-US"/>
        </w:rPr>
        <w:t xml:space="preserve">Wüest Partner (2019). Property Market Switzerland 2019.1. </w:t>
      </w:r>
      <w:r w:rsidRPr="002F4F74">
        <w:rPr>
          <w:rFonts w:ascii="Arial" w:hAnsi="Arial" w:cs="Arial"/>
          <w:lang w:val="en-US"/>
        </w:rPr>
        <w:t xml:space="preserve">(available </w:t>
      </w:r>
      <w:hyperlink r:id="rId10" w:history="1">
        <w:r w:rsidR="00940F13" w:rsidRPr="002F4F74">
          <w:rPr>
            <w:rStyle w:val="Hyperlink"/>
            <w:rFonts w:ascii="Arial" w:hAnsi="Arial" w:cs="Arial"/>
            <w:lang w:val="en-US"/>
          </w:rPr>
          <w:t>www.wuestpartner.com/publikationen</w:t>
        </w:r>
      </w:hyperlink>
      <w:r w:rsidRPr="002F4F74">
        <w:rPr>
          <w:rFonts w:ascii="Arial" w:hAnsi="Arial" w:cs="Arial"/>
          <w:lang w:val="en-US"/>
        </w:rPr>
        <w:t>)</w:t>
      </w:r>
    </w:p>
    <w:p w14:paraId="2474F776" w14:textId="49FA959E" w:rsidR="00940F13" w:rsidRPr="002F4F74" w:rsidRDefault="00940F13" w:rsidP="006F1EFF">
      <w:pPr>
        <w:rPr>
          <w:rFonts w:ascii="Arial" w:hAnsi="Arial" w:cs="Arial"/>
          <w:lang w:val="en-US"/>
        </w:rPr>
      </w:pPr>
    </w:p>
    <w:p w14:paraId="2D4AB5E0" w14:textId="1A3549DE" w:rsidR="00940F13" w:rsidRPr="00940F13" w:rsidRDefault="00940F13" w:rsidP="006F1EFF">
      <w:pPr>
        <w:rPr>
          <w:rFonts w:ascii="Arial" w:hAnsi="Arial" w:cs="Arial"/>
          <w:lang w:val="en-US"/>
        </w:rPr>
      </w:pPr>
      <w:r w:rsidRPr="00940F13">
        <w:rPr>
          <w:rFonts w:ascii="Arial" w:hAnsi="Arial" w:cs="Arial"/>
          <w:lang w:val="en-US"/>
        </w:rPr>
        <w:t>Kostadinov F. (2013): An agent-based model of a Swiss real estate market. Conference paper to be presented at the European Social Simulation Association (ESSA) conference Sept. 2013 in Warsaw.</w:t>
      </w:r>
    </w:p>
    <w:p w14:paraId="66FA3342" w14:textId="77777777" w:rsidR="005527D5" w:rsidRPr="00940F13" w:rsidRDefault="005527D5" w:rsidP="00445388">
      <w:pPr>
        <w:spacing w:line="276" w:lineRule="auto"/>
        <w:jc w:val="both"/>
        <w:rPr>
          <w:rFonts w:ascii="Arial" w:hAnsi="Arial" w:cs="Arial"/>
          <w:lang w:val="en-US"/>
        </w:rPr>
      </w:pPr>
    </w:p>
    <w:p w14:paraId="68A0446E" w14:textId="77777777" w:rsidR="005527D5" w:rsidRPr="001E745C"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sidRPr="001E745C">
        <w:rPr>
          <w:rFonts w:ascii="Arial" w:eastAsiaTheme="majorEastAsia" w:hAnsi="Arial" w:cs="Arial"/>
          <w:b/>
          <w:lang w:val="en-US"/>
        </w:rPr>
        <w:t>Crypto Currencies</w:t>
      </w:r>
    </w:p>
    <w:p w14:paraId="5CDBC18A" w14:textId="77777777" w:rsidR="001E745C" w:rsidRPr="001E745C" w:rsidRDefault="001E745C" w:rsidP="001E745C">
      <w:pPr>
        <w:rPr>
          <w:lang w:val="en-US"/>
        </w:rPr>
      </w:pPr>
    </w:p>
    <w:p w14:paraId="5265263D" w14:textId="383AF05A" w:rsidR="001E745C" w:rsidRPr="001E745C" w:rsidRDefault="001E745C" w:rsidP="001E745C">
      <w:pPr>
        <w:spacing w:line="276" w:lineRule="auto"/>
        <w:jc w:val="both"/>
        <w:rPr>
          <w:rFonts w:ascii="Arial" w:hAnsi="Arial" w:cs="Arial"/>
          <w:lang w:val="en-US"/>
        </w:rPr>
      </w:pPr>
      <w:r w:rsidRPr="007A40D3">
        <w:rPr>
          <w:rFonts w:ascii="Arial" w:hAnsi="Arial" w:cs="Arial"/>
          <w:lang w:val="de-CH"/>
        </w:rPr>
        <w:lastRenderedPageBreak/>
        <w:t xml:space="preserve">Gerlach, J.C., Gemost, G. &amp; Sornette, D. (2018). </w:t>
      </w:r>
      <w:r w:rsidRPr="001E745C">
        <w:rPr>
          <w:rFonts w:ascii="Arial" w:hAnsi="Arial" w:cs="Arial"/>
          <w:i/>
          <w:lang w:val="en-US"/>
        </w:rPr>
        <w:t>Dissection of Bitcoin's Multiscale Bubble History from January 2012 to February 2018.</w:t>
      </w:r>
    </w:p>
    <w:p w14:paraId="3D3E8288" w14:textId="1F6DCF48" w:rsidR="00DC6D00" w:rsidRPr="00C57797" w:rsidRDefault="00DC6D00" w:rsidP="00625536">
      <w:pPr>
        <w:jc w:val="both"/>
        <w:rPr>
          <w:rFonts w:ascii="Arial" w:hAnsi="Arial" w:cs="Arial"/>
          <w:lang w:val="en-US"/>
        </w:rPr>
      </w:pPr>
    </w:p>
    <w:p w14:paraId="1538FD6A" w14:textId="55338027" w:rsidR="00E342E4" w:rsidRDefault="00E342E4" w:rsidP="00625536">
      <w:pPr>
        <w:jc w:val="both"/>
        <w:rPr>
          <w:rFonts w:ascii="Arial" w:hAnsi="Arial" w:cs="Arial"/>
          <w:lang w:val="en-US"/>
        </w:rPr>
      </w:pPr>
      <w:r>
        <w:rPr>
          <w:rFonts w:ascii="Arial" w:hAnsi="Arial" w:cs="Arial"/>
          <w:lang w:val="en-US"/>
        </w:rPr>
        <w:t>Yonghong, J., He, N. &amp; Weihua, R. (2018). Time-varying long-term memory in Bitcoin market. Finance Research Letters.</w:t>
      </w:r>
    </w:p>
    <w:p w14:paraId="2690A177" w14:textId="77777777" w:rsidR="00DD3508" w:rsidRDefault="00DD3508" w:rsidP="00625536">
      <w:pPr>
        <w:jc w:val="both"/>
        <w:rPr>
          <w:rFonts w:ascii="Arial" w:hAnsi="Arial" w:cs="Arial"/>
          <w:lang w:val="en-US"/>
        </w:rPr>
      </w:pPr>
    </w:p>
    <w:p w14:paraId="158F13A5" w14:textId="0C9E486C" w:rsidR="00DD3508" w:rsidRDefault="00DD3508" w:rsidP="00625536">
      <w:pPr>
        <w:jc w:val="both"/>
        <w:rPr>
          <w:rFonts w:ascii="Arial" w:hAnsi="Arial" w:cs="Arial"/>
          <w:lang w:val="en-US"/>
        </w:rPr>
      </w:pPr>
      <w:r>
        <w:rPr>
          <w:rFonts w:ascii="Arial" w:hAnsi="Arial" w:cs="Arial"/>
          <w:lang w:val="en-US"/>
        </w:rPr>
        <w:t>Li, X. &amp; Wang, C.A. (2016). The technology and economic determinants of cryptocurrency exchange rates: The case of Bitcoin.</w:t>
      </w:r>
    </w:p>
    <w:p w14:paraId="71E8A926" w14:textId="77777777" w:rsidR="00EC1077" w:rsidRPr="00EC1077" w:rsidRDefault="00EC1077" w:rsidP="00EC1077">
      <w:pPr>
        <w:jc w:val="both"/>
        <w:rPr>
          <w:rFonts w:ascii="Arial" w:hAnsi="Arial" w:cs="Arial"/>
          <w:lang w:val="en-US"/>
        </w:rPr>
      </w:pPr>
    </w:p>
    <w:p w14:paraId="794502EA" w14:textId="1DC57436" w:rsidR="00126FBC" w:rsidRDefault="00126FBC" w:rsidP="00EC1077">
      <w:pPr>
        <w:jc w:val="both"/>
        <w:rPr>
          <w:rFonts w:ascii="Arial" w:hAnsi="Arial" w:cs="Arial"/>
          <w:lang w:val="en-US"/>
        </w:rPr>
      </w:pPr>
      <w:r w:rsidRPr="00EC1077">
        <w:rPr>
          <w:rFonts w:ascii="Arial" w:hAnsi="Arial" w:cs="Arial"/>
          <w:lang w:val="en-US"/>
        </w:rPr>
        <w:t>Wu, K., Wheatley, S., &amp; Sornette, D. (2018). Class</w:t>
      </w:r>
      <w:r w:rsidR="00EC1077">
        <w:rPr>
          <w:rFonts w:ascii="Arial" w:hAnsi="Arial" w:cs="Arial"/>
          <w:lang w:val="en-US"/>
        </w:rPr>
        <w:t>ifi</w:t>
      </w:r>
      <w:r w:rsidRPr="00EC1077">
        <w:rPr>
          <w:rFonts w:ascii="Arial" w:hAnsi="Arial" w:cs="Arial"/>
          <w:lang w:val="en-US"/>
        </w:rPr>
        <w:t>cation of cryptocurrency coins and tokens by the dynamics</w:t>
      </w:r>
      <w:r w:rsidR="00EC1077">
        <w:rPr>
          <w:rFonts w:ascii="Arial" w:hAnsi="Arial" w:cs="Arial"/>
          <w:lang w:val="en-US"/>
        </w:rPr>
        <w:t xml:space="preserve"> </w:t>
      </w:r>
      <w:r w:rsidRPr="00EC1077">
        <w:rPr>
          <w:rFonts w:ascii="Arial" w:hAnsi="Arial" w:cs="Arial"/>
          <w:lang w:val="en-US"/>
        </w:rPr>
        <w:t>of their market capitalizations. Royal Society Open Science, 5(9), 180381.</w:t>
      </w:r>
    </w:p>
    <w:p w14:paraId="64513EC4" w14:textId="77777777" w:rsidR="00EC1077" w:rsidRPr="00EC1077" w:rsidRDefault="00EC1077" w:rsidP="00EC1077">
      <w:pPr>
        <w:jc w:val="both"/>
        <w:rPr>
          <w:rFonts w:ascii="Arial" w:hAnsi="Arial" w:cs="Arial"/>
          <w:lang w:val="en-US"/>
        </w:rPr>
      </w:pPr>
    </w:p>
    <w:p w14:paraId="1534B2E1" w14:textId="640B874B" w:rsidR="00126FBC" w:rsidRPr="00EC1077" w:rsidRDefault="00126FBC" w:rsidP="00EC1077">
      <w:pPr>
        <w:jc w:val="both"/>
        <w:rPr>
          <w:rFonts w:ascii="Arial" w:hAnsi="Arial" w:cs="Arial"/>
          <w:lang w:val="en-US"/>
        </w:rPr>
      </w:pPr>
      <w:r w:rsidRPr="00412927">
        <w:rPr>
          <w:rFonts w:ascii="Arial" w:hAnsi="Arial" w:cs="Arial"/>
          <w:lang w:val="en-US"/>
        </w:rPr>
        <w:t xml:space="preserve">Cocco, L., Concas, G., &amp; Marchesi, M. (2017). </w:t>
      </w:r>
      <w:r w:rsidRPr="00EC1077">
        <w:rPr>
          <w:rFonts w:ascii="Arial" w:hAnsi="Arial" w:cs="Arial"/>
          <w:lang w:val="en-US"/>
        </w:rPr>
        <w:t>Using an arti</w:t>
      </w:r>
      <w:r w:rsidR="00EC1077">
        <w:rPr>
          <w:rFonts w:ascii="Arial" w:hAnsi="Arial" w:cs="Arial"/>
          <w:lang w:val="en-US"/>
        </w:rPr>
        <w:t>fi</w:t>
      </w:r>
      <w:r w:rsidRPr="00EC1077">
        <w:rPr>
          <w:rFonts w:ascii="Arial" w:hAnsi="Arial" w:cs="Arial"/>
          <w:lang w:val="en-US"/>
        </w:rPr>
        <w:t xml:space="preserve">cial </w:t>
      </w:r>
      <w:r w:rsidR="00EC1077">
        <w:rPr>
          <w:rFonts w:ascii="Arial" w:hAnsi="Arial" w:cs="Arial"/>
          <w:lang w:val="en-US"/>
        </w:rPr>
        <w:t>fi</w:t>
      </w:r>
      <w:r w:rsidRPr="00EC1077">
        <w:rPr>
          <w:rFonts w:ascii="Arial" w:hAnsi="Arial" w:cs="Arial"/>
          <w:lang w:val="en-US"/>
        </w:rPr>
        <w:t>nancial market for studying a cryptocurrency</w:t>
      </w:r>
      <w:r w:rsidR="00EC1077">
        <w:rPr>
          <w:rFonts w:ascii="Arial" w:hAnsi="Arial" w:cs="Arial"/>
          <w:lang w:val="en-US"/>
        </w:rPr>
        <w:t xml:space="preserve"> </w:t>
      </w:r>
      <w:r w:rsidRPr="00EC1077">
        <w:rPr>
          <w:rFonts w:ascii="Arial" w:hAnsi="Arial" w:cs="Arial"/>
          <w:lang w:val="en-US"/>
        </w:rPr>
        <w:t>market. Journal of Economic Interaction and Coordination, 12(2), 345-365.</w:t>
      </w:r>
    </w:p>
    <w:p w14:paraId="4405C13A" w14:textId="77777777" w:rsidR="00EC1077" w:rsidRDefault="00EC1077" w:rsidP="00EC1077">
      <w:pPr>
        <w:jc w:val="both"/>
        <w:rPr>
          <w:rFonts w:ascii="Arial" w:hAnsi="Arial" w:cs="Arial"/>
          <w:lang w:val="en-US"/>
        </w:rPr>
      </w:pPr>
    </w:p>
    <w:p w14:paraId="1C4AEF9D" w14:textId="59D26ED5" w:rsidR="00126FBC" w:rsidRPr="00EC1077" w:rsidRDefault="00126FBC" w:rsidP="00EC1077">
      <w:pPr>
        <w:jc w:val="both"/>
        <w:rPr>
          <w:rFonts w:ascii="Arial" w:hAnsi="Arial" w:cs="Arial"/>
          <w:lang w:val="en-US"/>
        </w:rPr>
      </w:pPr>
      <w:r w:rsidRPr="00EC1077">
        <w:rPr>
          <w:rFonts w:ascii="Arial" w:hAnsi="Arial" w:cs="Arial"/>
          <w:lang w:val="en-US"/>
        </w:rPr>
        <w:t>Alessandretti, L., ElBahrawy, A., Aiello, L. M., &amp; Baronchelli, A. (2018). Machine learning the cryptocurrency</w:t>
      </w:r>
      <w:r w:rsidR="00EC1077">
        <w:rPr>
          <w:rFonts w:ascii="Arial" w:hAnsi="Arial" w:cs="Arial"/>
          <w:lang w:val="en-US"/>
        </w:rPr>
        <w:t xml:space="preserve"> </w:t>
      </w:r>
      <w:r w:rsidRPr="00EC1077">
        <w:rPr>
          <w:rFonts w:ascii="Arial" w:hAnsi="Arial" w:cs="Arial"/>
          <w:lang w:val="en-US"/>
        </w:rPr>
        <w:t>market. Available at SSRN 3183792.</w:t>
      </w:r>
    </w:p>
    <w:p w14:paraId="55CFBB87" w14:textId="77777777" w:rsidR="00EC1077" w:rsidRDefault="00EC1077" w:rsidP="00EC1077">
      <w:pPr>
        <w:jc w:val="both"/>
        <w:rPr>
          <w:rFonts w:ascii="Arial" w:hAnsi="Arial" w:cs="Arial"/>
          <w:lang w:val="en-US"/>
        </w:rPr>
      </w:pPr>
    </w:p>
    <w:p w14:paraId="647B58E0" w14:textId="20DB0C35" w:rsidR="00126FBC" w:rsidRPr="00EC1077" w:rsidRDefault="00126FBC" w:rsidP="00EC1077">
      <w:pPr>
        <w:jc w:val="both"/>
        <w:rPr>
          <w:rFonts w:ascii="Arial" w:hAnsi="Arial" w:cs="Arial"/>
          <w:lang w:val="en-US"/>
        </w:rPr>
      </w:pPr>
      <w:r w:rsidRPr="00EC1077">
        <w:rPr>
          <w:rFonts w:ascii="Arial" w:hAnsi="Arial" w:cs="Arial"/>
          <w:lang w:val="en-US"/>
        </w:rPr>
        <w:t>Alessandretti, L., ElBahrawy, A., Aiello, L. M., &amp; Baronchelli, A. (2018). Anticipating cryptocurrency prices</w:t>
      </w:r>
      <w:r w:rsidR="00EC1077">
        <w:rPr>
          <w:rFonts w:ascii="Arial" w:hAnsi="Arial" w:cs="Arial"/>
          <w:lang w:val="en-US"/>
        </w:rPr>
        <w:t xml:space="preserve"> </w:t>
      </w:r>
      <w:r w:rsidRPr="00EC1077">
        <w:rPr>
          <w:rFonts w:ascii="Arial" w:hAnsi="Arial" w:cs="Arial"/>
          <w:lang w:val="en-US"/>
        </w:rPr>
        <w:t>using machine learning. Complexity, 2018.</w:t>
      </w:r>
    </w:p>
    <w:p w14:paraId="33B5D566" w14:textId="77777777" w:rsidR="00EC1077" w:rsidRDefault="00EC1077" w:rsidP="00EC1077">
      <w:pPr>
        <w:jc w:val="both"/>
        <w:rPr>
          <w:rFonts w:ascii="Arial" w:hAnsi="Arial" w:cs="Arial"/>
          <w:lang w:val="en-US"/>
        </w:rPr>
      </w:pPr>
    </w:p>
    <w:p w14:paraId="1B1856BE" w14:textId="50E96042" w:rsidR="00AD3816" w:rsidRPr="001E745C" w:rsidRDefault="00AD3816" w:rsidP="00AD3816">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Multi market models</w:t>
      </w:r>
    </w:p>
    <w:p w14:paraId="7F23CA64" w14:textId="017549D4" w:rsidR="00AD3816" w:rsidRDefault="00AD3816" w:rsidP="00625536">
      <w:pPr>
        <w:jc w:val="both"/>
        <w:rPr>
          <w:rFonts w:ascii="Arial" w:hAnsi="Arial" w:cs="Arial"/>
          <w:lang w:val="en-US"/>
        </w:rPr>
      </w:pPr>
    </w:p>
    <w:p w14:paraId="0B9DF0D5" w14:textId="25DC29C9" w:rsidR="002C44BB" w:rsidRDefault="002C44BB" w:rsidP="00625536">
      <w:pPr>
        <w:jc w:val="both"/>
        <w:rPr>
          <w:rFonts w:ascii="Arial" w:hAnsi="Arial" w:cs="Arial"/>
          <w:lang w:val="en-US"/>
        </w:rPr>
      </w:pPr>
      <w:r>
        <w:rPr>
          <w:rFonts w:ascii="Arial" w:hAnsi="Arial" w:cs="Arial"/>
          <w:lang w:val="en-US"/>
        </w:rPr>
        <w:t>Ray Dalio</w:t>
      </w:r>
    </w:p>
    <w:p w14:paraId="0A3BD878" w14:textId="34EC1BE8" w:rsidR="00F53106" w:rsidRDefault="00F53106" w:rsidP="00625536">
      <w:pPr>
        <w:jc w:val="both"/>
        <w:rPr>
          <w:rFonts w:ascii="Arial" w:hAnsi="Arial" w:cs="Arial"/>
          <w:lang w:val="en-US"/>
        </w:rPr>
      </w:pPr>
    </w:p>
    <w:p w14:paraId="42674360" w14:textId="77777777" w:rsidR="00F53106" w:rsidRPr="00F53106" w:rsidRDefault="00F53106" w:rsidP="00F53106">
      <w:pPr>
        <w:jc w:val="both"/>
        <w:rPr>
          <w:rFonts w:ascii="Arial" w:hAnsi="Arial" w:cs="Arial"/>
          <w:lang w:val="en-US"/>
        </w:rPr>
      </w:pPr>
      <w:r w:rsidRPr="00F53106">
        <w:rPr>
          <w:rFonts w:ascii="Arial" w:hAnsi="Arial" w:cs="Arial"/>
          <w:lang w:val="en-US"/>
        </w:rPr>
        <w:t>Joyce, M. A. S., Lasaosa, A., Stevens, I., and Tong, M. (2011). The financial market impact of quantitative easing in the United Kingdom. International Journal of Central Banking, 7(3), 113-61.</w:t>
      </w:r>
    </w:p>
    <w:p w14:paraId="38A6D7EE" w14:textId="73B68CCA" w:rsidR="00AC3855" w:rsidRDefault="00AC3855" w:rsidP="00F53106">
      <w:pPr>
        <w:jc w:val="both"/>
        <w:rPr>
          <w:rFonts w:ascii="Arial" w:hAnsi="Arial" w:cs="Arial"/>
          <w:lang w:val="en-US"/>
        </w:rPr>
      </w:pPr>
    </w:p>
    <w:p w14:paraId="3D441E97" w14:textId="50DA80EA" w:rsidR="00AC3855" w:rsidRPr="00447659" w:rsidRDefault="00AC3855" w:rsidP="00F53106">
      <w:pPr>
        <w:jc w:val="both"/>
        <w:rPr>
          <w:rFonts w:ascii="Arial" w:hAnsi="Arial" w:cs="Arial"/>
          <w:lang w:val="en-US"/>
        </w:rPr>
      </w:pPr>
      <w:r w:rsidRPr="00AC3855">
        <w:rPr>
          <w:rFonts w:ascii="Arial" w:hAnsi="Arial" w:cs="Arial"/>
          <w:lang w:val="en-US"/>
        </w:rPr>
        <w:t>The market environment enables us to first simulate inter market relations. Second, we can compare these simulations to time series of the real financial markets around the world. In this manner, we evaluate the goodness of our model – it is assumed to be a suitable model the better it captures ex post real world market processes/ outcomes.</w:t>
      </w:r>
    </w:p>
    <w:p w14:paraId="22F4184F" w14:textId="77777777" w:rsidR="006F23CF" w:rsidRPr="00447659" w:rsidRDefault="006F23CF">
      <w:pPr>
        <w:rPr>
          <w:rFonts w:ascii="Arial" w:eastAsiaTheme="majorEastAsia" w:hAnsi="Arial" w:cs="Arial"/>
          <w:b/>
          <w:bCs/>
          <w:sz w:val="28"/>
          <w:szCs w:val="28"/>
          <w:lang w:val="en-US"/>
        </w:rPr>
      </w:pPr>
      <w:r w:rsidRPr="00447659">
        <w:rPr>
          <w:rFonts w:ascii="Arial" w:hAnsi="Arial" w:cs="Arial"/>
          <w:sz w:val="28"/>
          <w:szCs w:val="28"/>
          <w:lang w:val="en-US"/>
        </w:rPr>
        <w:br w:type="page"/>
      </w:r>
    </w:p>
    <w:p w14:paraId="2437F49A" w14:textId="3C18EACA" w:rsidR="001D6534" w:rsidRDefault="0094082D" w:rsidP="001D6534">
      <w:pPr>
        <w:pStyle w:val="Heading1"/>
        <w:numPr>
          <w:ilvl w:val="0"/>
          <w:numId w:val="19"/>
        </w:numPr>
        <w:spacing w:line="276" w:lineRule="auto"/>
        <w:jc w:val="both"/>
        <w:rPr>
          <w:rFonts w:ascii="Arial" w:hAnsi="Arial" w:cs="Arial"/>
          <w:color w:val="auto"/>
          <w:sz w:val="28"/>
          <w:szCs w:val="28"/>
          <w:lang w:val="en-US"/>
        </w:rPr>
      </w:pPr>
      <w:r>
        <w:rPr>
          <w:rFonts w:ascii="Arial" w:hAnsi="Arial" w:cs="Arial"/>
          <w:color w:val="auto"/>
          <w:sz w:val="28"/>
          <w:szCs w:val="28"/>
          <w:lang w:val="en-US"/>
        </w:rPr>
        <w:lastRenderedPageBreak/>
        <w:t>Methodology</w:t>
      </w:r>
    </w:p>
    <w:p w14:paraId="40F19203" w14:textId="77777777" w:rsidR="001D6534" w:rsidRDefault="001D6534" w:rsidP="001D6534">
      <w:pPr>
        <w:rPr>
          <w:lang w:val="en-US"/>
        </w:rPr>
      </w:pPr>
    </w:p>
    <w:p w14:paraId="0E38C03F" w14:textId="77777777" w:rsidR="001D6534" w:rsidRPr="005168CF" w:rsidRDefault="001D6534" w:rsidP="001D6534">
      <w:pPr>
        <w:pStyle w:val="ListParagraph"/>
        <w:numPr>
          <w:ilvl w:val="0"/>
          <w:numId w:val="32"/>
        </w:numPr>
        <w:jc w:val="both"/>
        <w:rPr>
          <w:rFonts w:ascii="Arial" w:hAnsi="Arial" w:cs="Arial"/>
          <w:i/>
          <w:lang w:val="en-US"/>
        </w:rPr>
      </w:pPr>
      <w:r w:rsidRPr="005168CF">
        <w:rPr>
          <w:rFonts w:ascii="Arial" w:hAnsi="Arial" w:cs="Arial"/>
          <w:i/>
          <w:lang w:val="en-US"/>
        </w:rPr>
        <w:t>Summary of argument</w:t>
      </w:r>
    </w:p>
    <w:p w14:paraId="3233E4BD" w14:textId="77777777" w:rsidR="001D6534" w:rsidRPr="005168CF" w:rsidRDefault="001D6534" w:rsidP="001D6534">
      <w:pPr>
        <w:pStyle w:val="ListParagraph"/>
        <w:numPr>
          <w:ilvl w:val="0"/>
          <w:numId w:val="32"/>
        </w:numPr>
        <w:jc w:val="both"/>
        <w:rPr>
          <w:rFonts w:ascii="Arial" w:hAnsi="Arial" w:cs="Arial"/>
          <w:i/>
          <w:lang w:val="en-US"/>
        </w:rPr>
      </w:pPr>
      <w:r w:rsidRPr="005168CF">
        <w:rPr>
          <w:rFonts w:ascii="Arial" w:hAnsi="Arial" w:cs="Arial"/>
          <w:i/>
          <w:lang w:val="en-US"/>
        </w:rPr>
        <w:t>Overview of model</w:t>
      </w:r>
    </w:p>
    <w:p w14:paraId="0BDAF4D0" w14:textId="77777777" w:rsidR="001D6534" w:rsidRDefault="001D6534" w:rsidP="001D6534">
      <w:pPr>
        <w:pStyle w:val="ListParagraph"/>
        <w:numPr>
          <w:ilvl w:val="0"/>
          <w:numId w:val="32"/>
        </w:numPr>
        <w:jc w:val="both"/>
        <w:rPr>
          <w:rFonts w:ascii="Arial" w:hAnsi="Arial" w:cs="Arial"/>
          <w:i/>
          <w:lang w:val="en-US"/>
        </w:rPr>
      </w:pPr>
      <w:r w:rsidRPr="005168CF">
        <w:rPr>
          <w:rFonts w:ascii="Arial" w:hAnsi="Arial" w:cs="Arial"/>
          <w:i/>
          <w:lang w:val="en-US"/>
        </w:rPr>
        <w:t>Detailed justification</w:t>
      </w:r>
    </w:p>
    <w:p w14:paraId="0FC8C80A" w14:textId="49DA615E" w:rsidR="00FB2AF0" w:rsidRPr="00FB2AF0" w:rsidRDefault="00FB2AF0" w:rsidP="00FB2AF0">
      <w:pPr>
        <w:pStyle w:val="ListParagraph"/>
        <w:numPr>
          <w:ilvl w:val="0"/>
          <w:numId w:val="32"/>
        </w:numPr>
        <w:jc w:val="both"/>
        <w:rPr>
          <w:rFonts w:ascii="Arial" w:hAnsi="Arial" w:cs="Arial"/>
          <w:i/>
          <w:lang w:val="en-US"/>
        </w:rPr>
      </w:pPr>
      <w:r w:rsidRPr="005168CF">
        <w:rPr>
          <w:rFonts w:ascii="Arial" w:hAnsi="Arial" w:cs="Arial"/>
          <w:i/>
          <w:lang w:val="en-US"/>
        </w:rPr>
        <w:t>Hypotheses</w:t>
      </w:r>
    </w:p>
    <w:p w14:paraId="05A71C17" w14:textId="77777777" w:rsidR="001456EA" w:rsidRDefault="001456EA" w:rsidP="001456EA">
      <w:pPr>
        <w:jc w:val="both"/>
        <w:rPr>
          <w:rFonts w:ascii="Arial" w:hAnsi="Arial" w:cs="Arial"/>
          <w:i/>
          <w:lang w:val="en-US"/>
        </w:rPr>
      </w:pPr>
    </w:p>
    <w:p w14:paraId="76291FB0" w14:textId="2146D012" w:rsidR="0094082D" w:rsidRDefault="00310213" w:rsidP="0094082D">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Financial Markets</w:t>
      </w:r>
    </w:p>
    <w:p w14:paraId="381C7B8A" w14:textId="77777777" w:rsidR="00FB2AF0" w:rsidRDefault="00FB2AF0" w:rsidP="001456EA">
      <w:pPr>
        <w:jc w:val="both"/>
        <w:rPr>
          <w:rFonts w:ascii="Arial" w:hAnsi="Arial" w:cs="Arial"/>
          <w:lang w:val="en-US"/>
        </w:rPr>
      </w:pPr>
    </w:p>
    <w:p w14:paraId="33CD9B48" w14:textId="77777777" w:rsidR="00310213" w:rsidRDefault="00310213" w:rsidP="00310213">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Agent Based Models</w:t>
      </w:r>
    </w:p>
    <w:p w14:paraId="48D35F69" w14:textId="77777777" w:rsidR="00F92262" w:rsidRDefault="00F92262" w:rsidP="000B4C4C">
      <w:pPr>
        <w:spacing w:line="276" w:lineRule="auto"/>
        <w:jc w:val="both"/>
        <w:rPr>
          <w:rFonts w:ascii="Arial" w:hAnsi="Arial" w:cs="Arial"/>
          <w:highlight w:val="yellow"/>
          <w:lang w:val="en-US"/>
        </w:rPr>
      </w:pPr>
    </w:p>
    <w:p w14:paraId="12E2F9AA" w14:textId="47A32C55" w:rsidR="003116B3" w:rsidRDefault="003116B3" w:rsidP="000B4C4C">
      <w:pPr>
        <w:spacing w:line="276" w:lineRule="auto"/>
        <w:jc w:val="both"/>
        <w:rPr>
          <w:rFonts w:ascii="Arial" w:hAnsi="Arial" w:cs="Arial"/>
          <w:highlight w:val="yellow"/>
          <w:lang w:val="en-US"/>
        </w:rPr>
      </w:pPr>
      <w:r>
        <w:rPr>
          <w:rFonts w:ascii="Arial" w:hAnsi="Arial" w:cs="Arial"/>
          <w:highlight w:val="yellow"/>
          <w:lang w:val="en-US"/>
        </w:rPr>
        <w:t>Dynamic trading ratio (depending on success)</w:t>
      </w:r>
    </w:p>
    <w:p w14:paraId="2C444613" w14:textId="77777777" w:rsidR="003116B3" w:rsidRDefault="003116B3" w:rsidP="000B4C4C">
      <w:pPr>
        <w:spacing w:line="276" w:lineRule="auto"/>
        <w:jc w:val="both"/>
        <w:rPr>
          <w:rFonts w:ascii="Arial" w:hAnsi="Arial" w:cs="Arial"/>
          <w:highlight w:val="yellow"/>
          <w:lang w:val="en-US"/>
        </w:rPr>
      </w:pPr>
    </w:p>
    <w:p w14:paraId="70F600B3" w14:textId="2DA19E57" w:rsidR="000B4C4C" w:rsidRPr="000B4C4C" w:rsidRDefault="000B4C4C" w:rsidP="000B4C4C">
      <w:pPr>
        <w:spacing w:line="276" w:lineRule="auto"/>
        <w:jc w:val="both"/>
        <w:rPr>
          <w:rFonts w:ascii="Arial" w:hAnsi="Arial" w:cs="Arial"/>
          <w:highlight w:val="yellow"/>
          <w:lang w:val="en-US"/>
        </w:rPr>
      </w:pPr>
      <w:r w:rsidRPr="000B4C4C">
        <w:rPr>
          <w:rFonts w:ascii="Arial" w:hAnsi="Arial" w:cs="Arial"/>
          <w:highlight w:val="yellow"/>
          <w:lang w:val="en-US"/>
        </w:rPr>
        <w:t>Alpha Hypothesis</w:t>
      </w:r>
    </w:p>
    <w:p w14:paraId="22556A04" w14:textId="77777777" w:rsidR="000B4C4C" w:rsidRPr="000B4C4C" w:rsidRDefault="000B4C4C" w:rsidP="000B4C4C">
      <w:pPr>
        <w:pStyle w:val="ListParagraph"/>
        <w:numPr>
          <w:ilvl w:val="0"/>
          <w:numId w:val="32"/>
        </w:numPr>
        <w:spacing w:line="276" w:lineRule="auto"/>
        <w:jc w:val="both"/>
        <w:rPr>
          <w:rFonts w:ascii="Arial" w:hAnsi="Arial" w:cs="Arial"/>
          <w:highlight w:val="yellow"/>
          <w:lang w:val="en-US"/>
        </w:rPr>
      </w:pPr>
      <w:r w:rsidRPr="000B4C4C">
        <w:rPr>
          <w:rFonts w:ascii="Arial" w:hAnsi="Arial" w:cs="Arial"/>
          <w:highlight w:val="yellow"/>
          <w:lang w:val="en-US"/>
        </w:rPr>
        <w:t>Shorter time means less risk</w:t>
      </w:r>
    </w:p>
    <w:p w14:paraId="4079FA94" w14:textId="77777777" w:rsidR="000B4C4C" w:rsidRPr="000B4C4C" w:rsidRDefault="000B4C4C" w:rsidP="000B4C4C">
      <w:pPr>
        <w:pStyle w:val="ListParagraph"/>
        <w:numPr>
          <w:ilvl w:val="0"/>
          <w:numId w:val="32"/>
        </w:numPr>
        <w:spacing w:line="276" w:lineRule="auto"/>
        <w:jc w:val="both"/>
        <w:rPr>
          <w:rFonts w:ascii="Arial" w:hAnsi="Arial" w:cs="Arial"/>
          <w:highlight w:val="yellow"/>
          <w:lang w:val="en-US"/>
        </w:rPr>
      </w:pPr>
      <w:r w:rsidRPr="000B4C4C">
        <w:rPr>
          <w:rFonts w:ascii="Arial" w:hAnsi="Arial" w:cs="Arial"/>
          <w:highlight w:val="yellow"/>
          <w:lang w:val="en-US"/>
        </w:rPr>
        <w:t>Averaging</w:t>
      </w:r>
    </w:p>
    <w:p w14:paraId="28B1DED3" w14:textId="77777777" w:rsidR="000B4C4C" w:rsidRPr="000B4C4C" w:rsidRDefault="000B4C4C" w:rsidP="000B4C4C">
      <w:pPr>
        <w:pStyle w:val="ListParagraph"/>
        <w:numPr>
          <w:ilvl w:val="0"/>
          <w:numId w:val="32"/>
        </w:numPr>
        <w:spacing w:line="276" w:lineRule="auto"/>
        <w:jc w:val="both"/>
        <w:rPr>
          <w:rFonts w:ascii="Arial" w:hAnsi="Arial" w:cs="Arial"/>
          <w:highlight w:val="yellow"/>
          <w:lang w:val="en-US"/>
        </w:rPr>
      </w:pPr>
      <w:r w:rsidRPr="000B4C4C">
        <w:rPr>
          <w:rFonts w:ascii="Arial" w:hAnsi="Arial" w:cs="Arial"/>
          <w:highlight w:val="yellow"/>
          <w:lang w:val="en-US"/>
        </w:rPr>
        <w:t>Volatilitäts Clustering</w:t>
      </w:r>
    </w:p>
    <w:p w14:paraId="3823C4D4" w14:textId="36D312C6" w:rsidR="000B4C4C" w:rsidRDefault="000B4C4C" w:rsidP="000B4C4C">
      <w:pPr>
        <w:pStyle w:val="ListParagraph"/>
        <w:numPr>
          <w:ilvl w:val="0"/>
          <w:numId w:val="32"/>
        </w:numPr>
        <w:spacing w:line="276" w:lineRule="auto"/>
        <w:jc w:val="both"/>
        <w:rPr>
          <w:rFonts w:ascii="Arial" w:hAnsi="Arial" w:cs="Arial"/>
          <w:lang w:val="en-US"/>
        </w:rPr>
      </w:pPr>
      <w:r w:rsidRPr="000B4C4C">
        <w:rPr>
          <w:rFonts w:ascii="Arial" w:hAnsi="Arial" w:cs="Arial"/>
          <w:highlight w:val="yellow"/>
          <w:lang w:val="en-US"/>
        </w:rPr>
        <w:t>Risk Parity</w:t>
      </w:r>
    </w:p>
    <w:p w14:paraId="5A8419E2" w14:textId="1F18618A" w:rsidR="00186676" w:rsidRPr="00955026" w:rsidRDefault="00186676" w:rsidP="000B4C4C">
      <w:pPr>
        <w:pStyle w:val="ListParagraph"/>
        <w:numPr>
          <w:ilvl w:val="0"/>
          <w:numId w:val="32"/>
        </w:numPr>
        <w:spacing w:line="276" w:lineRule="auto"/>
        <w:jc w:val="both"/>
        <w:rPr>
          <w:rFonts w:ascii="Arial" w:hAnsi="Arial" w:cs="Arial"/>
          <w:highlight w:val="yellow"/>
          <w:lang w:val="en-US"/>
        </w:rPr>
      </w:pPr>
      <w:r w:rsidRPr="00955026">
        <w:rPr>
          <w:rFonts w:ascii="Arial" w:hAnsi="Arial" w:cs="Arial"/>
          <w:highlight w:val="yellow"/>
          <w:lang w:val="en-US"/>
        </w:rPr>
        <w:t>Position also from strength of trading signal depending</w:t>
      </w:r>
    </w:p>
    <w:p w14:paraId="6C69B76D" w14:textId="0D1095EE" w:rsidR="00186676" w:rsidRPr="00955026" w:rsidRDefault="00186676" w:rsidP="000B4C4C">
      <w:pPr>
        <w:pStyle w:val="ListParagraph"/>
        <w:numPr>
          <w:ilvl w:val="0"/>
          <w:numId w:val="32"/>
        </w:numPr>
        <w:spacing w:line="276" w:lineRule="auto"/>
        <w:jc w:val="both"/>
        <w:rPr>
          <w:rFonts w:ascii="Arial" w:hAnsi="Arial" w:cs="Arial"/>
          <w:highlight w:val="yellow"/>
          <w:lang w:val="en-US"/>
        </w:rPr>
      </w:pPr>
      <w:r w:rsidRPr="00955026">
        <w:rPr>
          <w:rFonts w:ascii="Arial" w:hAnsi="Arial" w:cs="Arial"/>
          <w:highlight w:val="yellow"/>
          <w:lang w:val="en-US"/>
        </w:rPr>
        <w:t>Threshold Values for trading</w:t>
      </w:r>
    </w:p>
    <w:p w14:paraId="476AD5C4" w14:textId="2BD51A26" w:rsidR="00E1524E" w:rsidRDefault="00E1524E" w:rsidP="00E1524E">
      <w:pPr>
        <w:spacing w:line="276" w:lineRule="auto"/>
        <w:jc w:val="both"/>
        <w:rPr>
          <w:rFonts w:ascii="Arial" w:hAnsi="Arial" w:cs="Arial"/>
          <w:lang w:val="en-US"/>
        </w:rPr>
      </w:pPr>
    </w:p>
    <w:p w14:paraId="4F83D5A9" w14:textId="77777777" w:rsidR="001F360D" w:rsidRDefault="001F360D" w:rsidP="001F360D">
      <w:pPr>
        <w:jc w:val="both"/>
        <w:rPr>
          <w:rFonts w:ascii="Arial" w:hAnsi="Arial" w:cs="Arial"/>
          <w:highlight w:val="yellow"/>
          <w:lang w:val="en-US"/>
        </w:rPr>
      </w:pPr>
      <w:r w:rsidRPr="00D201F0">
        <w:rPr>
          <w:rFonts w:ascii="Arial" w:hAnsi="Arial" w:cs="Arial"/>
          <w:highlight w:val="yellow"/>
          <w:lang w:val="en-US"/>
        </w:rPr>
        <w:t>Utility function Kahnemann/Tversky (Lo, 2017, 58)</w:t>
      </w:r>
    </w:p>
    <w:p w14:paraId="3F14E8DA" w14:textId="77777777" w:rsidR="001F360D" w:rsidRPr="00D201F0" w:rsidRDefault="001F360D" w:rsidP="001F360D">
      <w:pPr>
        <w:jc w:val="both"/>
        <w:rPr>
          <w:rFonts w:ascii="Arial" w:hAnsi="Arial" w:cs="Arial"/>
          <w:highlight w:val="yellow"/>
          <w:lang w:val="en-US"/>
        </w:rPr>
      </w:pPr>
    </w:p>
    <w:p w14:paraId="2035B642" w14:textId="261EB67F" w:rsidR="001F360D" w:rsidRDefault="001F360D" w:rsidP="001F360D">
      <w:pPr>
        <w:jc w:val="both"/>
        <w:rPr>
          <w:rFonts w:ascii="Arial" w:hAnsi="Arial" w:cs="Arial"/>
          <w:highlight w:val="yellow"/>
          <w:lang w:val="en-US"/>
        </w:rPr>
      </w:pPr>
      <w:r w:rsidRPr="00D201F0">
        <w:rPr>
          <w:rFonts w:ascii="Arial" w:hAnsi="Arial" w:cs="Arial"/>
          <w:highlight w:val="yellow"/>
          <w:lang w:val="en-US"/>
        </w:rPr>
        <w:t>Probability Matcher instead of Buy and Hold (Lo, 2017, 193f) for Risk Mgmt</w:t>
      </w:r>
    </w:p>
    <w:p w14:paraId="034BEEF9" w14:textId="131B68DA" w:rsidR="008D7DAD" w:rsidRDefault="008D7DAD" w:rsidP="001F360D">
      <w:pPr>
        <w:jc w:val="both"/>
        <w:rPr>
          <w:rFonts w:ascii="Arial" w:hAnsi="Arial" w:cs="Arial"/>
          <w:highlight w:val="yellow"/>
          <w:lang w:val="en-US"/>
        </w:rPr>
      </w:pPr>
    </w:p>
    <w:p w14:paraId="1D9234FD" w14:textId="12807190" w:rsidR="008D7DAD" w:rsidRPr="00D201F0" w:rsidRDefault="008D7DAD" w:rsidP="001F360D">
      <w:pPr>
        <w:jc w:val="both"/>
        <w:rPr>
          <w:rFonts w:ascii="Arial" w:hAnsi="Arial" w:cs="Arial"/>
          <w:highlight w:val="yellow"/>
          <w:lang w:val="en-US"/>
        </w:rPr>
      </w:pPr>
      <w:r>
        <w:rPr>
          <w:rFonts w:ascii="Arial" w:hAnsi="Arial" w:cs="Arial"/>
          <w:highlight w:val="yellow"/>
          <w:lang w:val="en-US"/>
        </w:rPr>
        <w:t>Shannon’s Demon</w:t>
      </w:r>
    </w:p>
    <w:p w14:paraId="192B68ED" w14:textId="77777777" w:rsidR="001F360D" w:rsidRPr="005168CF" w:rsidRDefault="001F360D" w:rsidP="000B324E">
      <w:pPr>
        <w:spacing w:line="276" w:lineRule="auto"/>
        <w:jc w:val="both"/>
        <w:rPr>
          <w:rFonts w:ascii="Arial" w:hAnsi="Arial" w:cs="Arial"/>
          <w:lang w:val="en-US"/>
        </w:rPr>
      </w:pPr>
    </w:p>
    <w:p w14:paraId="0E2DF694" w14:textId="5A104048" w:rsidR="00AA00E9" w:rsidRDefault="00AA00E9"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Oil</w:t>
      </w:r>
    </w:p>
    <w:p w14:paraId="4051AE62" w14:textId="23D18CDE" w:rsidR="00AA00E9" w:rsidRPr="00F00F8F" w:rsidRDefault="00F00F8F" w:rsidP="00F00F8F">
      <w:pPr>
        <w:jc w:val="both"/>
        <w:rPr>
          <w:rFonts w:ascii="Arial" w:hAnsi="Arial" w:cs="Arial"/>
          <w:lang w:val="en-US"/>
        </w:rPr>
      </w:pPr>
      <w:r w:rsidRPr="00F00F8F">
        <w:rPr>
          <w:rFonts w:ascii="Arial" w:hAnsi="Arial" w:cs="Arial"/>
          <w:lang w:val="en-US"/>
        </w:rPr>
        <w:t xml:space="preserve"> </w:t>
      </w:r>
    </w:p>
    <w:p w14:paraId="454BBE13" w14:textId="145948FC"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SPI</w:t>
      </w:r>
    </w:p>
    <w:p w14:paraId="0AC7866C" w14:textId="77777777" w:rsidR="00F41005" w:rsidRDefault="00F41005" w:rsidP="00F41005">
      <w:pPr>
        <w:jc w:val="both"/>
        <w:rPr>
          <w:rFonts w:ascii="Arial" w:hAnsi="Arial" w:cs="Arial"/>
          <w:lang w:val="en-US"/>
        </w:rPr>
      </w:pPr>
    </w:p>
    <w:p w14:paraId="4ADE5E99" w14:textId="77777777" w:rsidR="00F41005" w:rsidRDefault="00F41005" w:rsidP="00F41005">
      <w:pPr>
        <w:jc w:val="both"/>
        <w:rPr>
          <w:rFonts w:ascii="Arial" w:hAnsi="Arial" w:cs="Arial"/>
          <w:lang w:val="en-US"/>
        </w:rPr>
      </w:pPr>
      <w:r>
        <w:rPr>
          <w:rFonts w:ascii="Arial" w:hAnsi="Arial" w:cs="Arial"/>
          <w:lang w:val="en-US"/>
        </w:rPr>
        <w:t>The Swiss Performance Index (SPI) is the broad index of the Swiss stock market. It includes approximately 230 equity issues. The included stocks must be primary listed in Switzerland and must have a free-float equal to or greater than 20 percent. The calculation method is the capital-weighted Laypeyres formula based on the freefloat. The full market capitalization was CHF 1’553 billion and free float adjusted CHF 1’353 billion (as of 29.12.2017). (SWX, 2018)</w:t>
      </w:r>
    </w:p>
    <w:p w14:paraId="4FDFFE6E" w14:textId="77777777" w:rsidR="00F41005" w:rsidRDefault="00F41005" w:rsidP="00F41005">
      <w:pPr>
        <w:jc w:val="both"/>
        <w:rPr>
          <w:rFonts w:ascii="Arial" w:hAnsi="Arial" w:cs="Arial"/>
          <w:lang w:val="en-US"/>
        </w:rPr>
      </w:pPr>
    </w:p>
    <w:p w14:paraId="5F309C8C" w14:textId="3DA6E981" w:rsidR="00F41005" w:rsidRDefault="00F41005" w:rsidP="00F41005">
      <w:pPr>
        <w:jc w:val="both"/>
        <w:rPr>
          <w:rFonts w:ascii="Arial" w:hAnsi="Arial" w:cs="Arial"/>
          <w:lang w:val="en-US"/>
        </w:rPr>
      </w:pPr>
      <w:r>
        <w:rPr>
          <w:rFonts w:ascii="Arial" w:hAnsi="Arial" w:cs="Arial"/>
          <w:lang w:val="en-US"/>
        </w:rPr>
        <w:t>Owners of the SPI stocks are private households, institutional investors like pension funds, insurance companies and banks, and cooperation/government. Household and institutional investors can hold the equities direct or indirect. For that reason</w:t>
      </w:r>
      <w:r w:rsidR="0016643F">
        <w:rPr>
          <w:rFonts w:ascii="Arial" w:hAnsi="Arial" w:cs="Arial"/>
          <w:lang w:val="en-US"/>
        </w:rPr>
        <w:t>,</w:t>
      </w:r>
      <w:r>
        <w:rPr>
          <w:rFonts w:ascii="Arial" w:hAnsi="Arial" w:cs="Arial"/>
          <w:lang w:val="en-US"/>
        </w:rPr>
        <w:t xml:space="preserve"> relevant investors are investment advisors and fund managers which hold the equities behave of their clients. Based on different datasources (Bloomberg, 2018; OAK BV, 2018; SNB, 2018) the following simplified ownership structure is used:</w:t>
      </w:r>
    </w:p>
    <w:p w14:paraId="66F297D9" w14:textId="77777777" w:rsidR="00F41005" w:rsidRDefault="00F41005" w:rsidP="00F41005">
      <w:pPr>
        <w:jc w:val="both"/>
        <w:rPr>
          <w:rFonts w:ascii="Arial" w:hAnsi="Arial" w:cs="Arial"/>
          <w:lang w:val="en-US"/>
        </w:rPr>
      </w:pPr>
    </w:p>
    <w:p w14:paraId="03B85CBE" w14:textId="77777777" w:rsidR="00F41005" w:rsidRDefault="00F41005" w:rsidP="00F41005">
      <w:pPr>
        <w:pStyle w:val="ListParagraph"/>
        <w:numPr>
          <w:ilvl w:val="0"/>
          <w:numId w:val="32"/>
        </w:numPr>
        <w:jc w:val="both"/>
        <w:rPr>
          <w:rFonts w:ascii="Arial" w:hAnsi="Arial" w:cs="Arial"/>
          <w:lang w:val="en-US"/>
        </w:rPr>
      </w:pPr>
      <w:r>
        <w:rPr>
          <w:rFonts w:ascii="Arial" w:hAnsi="Arial" w:cs="Arial"/>
          <w:lang w:val="en-US"/>
        </w:rPr>
        <w:t xml:space="preserve">Private Housholds </w:t>
      </w:r>
      <w:r>
        <w:rPr>
          <w:rFonts w:ascii="Arial" w:hAnsi="Arial" w:cs="Arial"/>
          <w:lang w:val="en-US"/>
        </w:rPr>
        <w:tab/>
      </w:r>
      <w:r>
        <w:rPr>
          <w:rFonts w:ascii="Arial" w:hAnsi="Arial" w:cs="Arial"/>
          <w:lang w:val="en-US"/>
        </w:rPr>
        <w:tab/>
      </w:r>
      <w:r>
        <w:rPr>
          <w:rFonts w:ascii="Arial" w:hAnsi="Arial" w:cs="Arial"/>
          <w:lang w:val="en-US"/>
        </w:rPr>
        <w:tab/>
        <w:t>10% direct</w:t>
      </w:r>
      <w:r>
        <w:rPr>
          <w:rFonts w:ascii="Arial" w:hAnsi="Arial" w:cs="Arial"/>
          <w:lang w:val="en-US"/>
        </w:rPr>
        <w:tab/>
        <w:t>25% indirect</w:t>
      </w:r>
    </w:p>
    <w:p w14:paraId="52CA90A2" w14:textId="77777777" w:rsidR="00F41005" w:rsidRDefault="00F41005" w:rsidP="00F41005">
      <w:pPr>
        <w:pStyle w:val="ListParagraph"/>
        <w:numPr>
          <w:ilvl w:val="0"/>
          <w:numId w:val="32"/>
        </w:numPr>
        <w:jc w:val="both"/>
        <w:rPr>
          <w:rFonts w:ascii="Arial" w:hAnsi="Arial" w:cs="Arial"/>
          <w:lang w:val="en-US"/>
        </w:rPr>
      </w:pPr>
      <w:r>
        <w:rPr>
          <w:rFonts w:ascii="Arial" w:hAnsi="Arial" w:cs="Arial"/>
          <w:lang w:val="en-US"/>
        </w:rPr>
        <w:t xml:space="preserve">Institutional Investors </w:t>
      </w:r>
      <w:r>
        <w:rPr>
          <w:rFonts w:ascii="Arial" w:hAnsi="Arial" w:cs="Arial"/>
          <w:lang w:val="en-US"/>
        </w:rPr>
        <w:tab/>
      </w:r>
      <w:r>
        <w:rPr>
          <w:rFonts w:ascii="Arial" w:hAnsi="Arial" w:cs="Arial"/>
          <w:lang w:val="en-US"/>
        </w:rPr>
        <w:tab/>
        <w:t>10% direct</w:t>
      </w:r>
      <w:r>
        <w:rPr>
          <w:rFonts w:ascii="Arial" w:hAnsi="Arial" w:cs="Arial"/>
          <w:lang w:val="en-US"/>
        </w:rPr>
        <w:tab/>
        <w:t>25% indirect</w:t>
      </w:r>
    </w:p>
    <w:p w14:paraId="7AE950D7" w14:textId="77777777" w:rsidR="00B100A9" w:rsidRDefault="00F41005" w:rsidP="00F41005">
      <w:pPr>
        <w:pStyle w:val="ListParagraph"/>
        <w:numPr>
          <w:ilvl w:val="0"/>
          <w:numId w:val="32"/>
        </w:numPr>
        <w:jc w:val="both"/>
        <w:rPr>
          <w:rFonts w:ascii="Arial" w:hAnsi="Arial" w:cs="Arial"/>
          <w:lang w:val="en-US"/>
        </w:rPr>
      </w:pPr>
      <w:r>
        <w:rPr>
          <w:rFonts w:ascii="Arial" w:hAnsi="Arial" w:cs="Arial"/>
          <w:lang w:val="en-US"/>
        </w:rPr>
        <w:t>Cooperations/Government</w:t>
      </w:r>
      <w:r>
        <w:rPr>
          <w:rFonts w:ascii="Arial" w:hAnsi="Arial" w:cs="Arial"/>
          <w:lang w:val="en-US"/>
        </w:rPr>
        <w:tab/>
        <w:t xml:space="preserve"> </w:t>
      </w:r>
      <w:r>
        <w:rPr>
          <w:rFonts w:ascii="Arial" w:hAnsi="Arial" w:cs="Arial"/>
          <w:lang w:val="en-US"/>
        </w:rPr>
        <w:tab/>
        <w:t xml:space="preserve">30% direct </w:t>
      </w:r>
    </w:p>
    <w:p w14:paraId="40056DD4" w14:textId="77777777" w:rsidR="00B100A9" w:rsidRDefault="00B100A9" w:rsidP="00B100A9">
      <w:pPr>
        <w:jc w:val="both"/>
        <w:rPr>
          <w:rFonts w:ascii="Arial" w:hAnsi="Arial" w:cs="Arial"/>
          <w:lang w:val="en-US"/>
        </w:rPr>
      </w:pPr>
    </w:p>
    <w:p w14:paraId="531DF987" w14:textId="4FF9530A" w:rsidR="00F41005" w:rsidRDefault="00593C3C" w:rsidP="00F41005">
      <w:pPr>
        <w:jc w:val="both"/>
        <w:rPr>
          <w:rFonts w:ascii="Arial" w:hAnsi="Arial" w:cs="Arial"/>
          <w:lang w:val="en-US"/>
        </w:rPr>
      </w:pPr>
      <w:r>
        <w:rPr>
          <w:rFonts w:ascii="Arial" w:hAnsi="Arial" w:cs="Arial"/>
          <w:lang w:val="en-US"/>
        </w:rPr>
        <w:t>The</w:t>
      </w:r>
      <w:r w:rsidR="00496E25">
        <w:rPr>
          <w:rFonts w:ascii="Arial" w:hAnsi="Arial" w:cs="Arial"/>
          <w:lang w:val="en-US"/>
        </w:rPr>
        <w:t xml:space="preserve"> performance of the</w:t>
      </w:r>
      <w:r>
        <w:rPr>
          <w:rFonts w:ascii="Arial" w:hAnsi="Arial" w:cs="Arial"/>
          <w:lang w:val="en-US"/>
        </w:rPr>
        <w:t xml:space="preserve"> followin</w:t>
      </w:r>
      <w:r w:rsidR="00496E25">
        <w:rPr>
          <w:rFonts w:ascii="Arial" w:hAnsi="Arial" w:cs="Arial"/>
          <w:lang w:val="en-US"/>
        </w:rPr>
        <w:t>gs models are compared</w:t>
      </w:r>
      <w:r>
        <w:rPr>
          <w:rFonts w:ascii="Arial" w:hAnsi="Arial" w:cs="Arial"/>
          <w:lang w:val="en-US"/>
        </w:rPr>
        <w:t>:</w:t>
      </w:r>
    </w:p>
    <w:p w14:paraId="4AF35918" w14:textId="77777777" w:rsidR="00EC06F0" w:rsidRDefault="00EC06F0" w:rsidP="00F41005">
      <w:pPr>
        <w:jc w:val="both"/>
        <w:rPr>
          <w:rFonts w:ascii="Arial" w:hAnsi="Arial" w:cs="Arial"/>
          <w:lang w:val="en-US"/>
        </w:rPr>
      </w:pPr>
    </w:p>
    <w:p w14:paraId="24CE0CA1" w14:textId="7FA1E4FC" w:rsidR="00EC06F0" w:rsidRPr="00EC06F0" w:rsidRDefault="00EC06F0" w:rsidP="00EC06F0">
      <w:pPr>
        <w:pStyle w:val="ListParagraph"/>
        <w:numPr>
          <w:ilvl w:val="0"/>
          <w:numId w:val="32"/>
        </w:numPr>
        <w:jc w:val="both"/>
        <w:rPr>
          <w:rFonts w:ascii="Arial" w:hAnsi="Arial" w:cs="Arial"/>
          <w:lang w:val="en-US"/>
        </w:rPr>
      </w:pPr>
      <w:r>
        <w:rPr>
          <w:rFonts w:ascii="Arial" w:hAnsi="Arial" w:cs="Arial"/>
          <w:lang w:val="en-US"/>
        </w:rPr>
        <w:t>A neural n</w:t>
      </w:r>
      <w:r w:rsidR="001B7755">
        <w:rPr>
          <w:rFonts w:ascii="Arial" w:hAnsi="Arial" w:cs="Arial"/>
          <w:lang w:val="en-US"/>
        </w:rPr>
        <w:t>etwork model (Ankenbrand, 1995a;</w:t>
      </w:r>
      <w:r>
        <w:rPr>
          <w:rFonts w:ascii="Arial" w:hAnsi="Arial" w:cs="Arial"/>
          <w:lang w:val="en-US"/>
        </w:rPr>
        <w:t xml:space="preserve"> </w:t>
      </w:r>
      <w:r w:rsidRPr="00C73448">
        <w:rPr>
          <w:rFonts w:ascii="Arial" w:hAnsi="Arial" w:cs="Arial"/>
          <w:bCs/>
          <w:highlight w:val="yellow"/>
          <w:lang w:val="en-US"/>
        </w:rPr>
        <w:t>Ankenbrand, 1995b</w:t>
      </w:r>
      <w:r>
        <w:rPr>
          <w:rFonts w:ascii="Arial" w:hAnsi="Arial" w:cs="Arial"/>
          <w:lang w:val="en-US"/>
        </w:rPr>
        <w:t>)</w:t>
      </w:r>
    </w:p>
    <w:p w14:paraId="0A943774" w14:textId="77777777" w:rsidR="00723E0A" w:rsidRDefault="00723E0A" w:rsidP="00723E0A">
      <w:pPr>
        <w:pStyle w:val="ListParagraph"/>
        <w:numPr>
          <w:ilvl w:val="0"/>
          <w:numId w:val="32"/>
        </w:numPr>
        <w:jc w:val="both"/>
        <w:rPr>
          <w:rFonts w:ascii="Arial" w:hAnsi="Arial" w:cs="Arial"/>
          <w:lang w:val="en-US"/>
        </w:rPr>
      </w:pPr>
      <w:r>
        <w:rPr>
          <w:rFonts w:ascii="Arial" w:hAnsi="Arial" w:cs="Arial"/>
          <w:lang w:val="en-US"/>
        </w:rPr>
        <w:t>A linear regression model (Ankenbrand, 1998, 65ff)</w:t>
      </w:r>
    </w:p>
    <w:p w14:paraId="13F3E4F6" w14:textId="1D0DAB21" w:rsidR="00EC06F0" w:rsidRDefault="00EC06F0" w:rsidP="00EC06F0">
      <w:pPr>
        <w:pStyle w:val="ListParagraph"/>
        <w:numPr>
          <w:ilvl w:val="0"/>
          <w:numId w:val="32"/>
        </w:numPr>
        <w:jc w:val="both"/>
        <w:rPr>
          <w:rFonts w:ascii="Arial" w:hAnsi="Arial" w:cs="Arial"/>
          <w:lang w:val="en-US"/>
        </w:rPr>
      </w:pPr>
      <w:r>
        <w:rPr>
          <w:rFonts w:ascii="Arial" w:hAnsi="Arial" w:cs="Arial"/>
          <w:lang w:val="en-US"/>
        </w:rPr>
        <w:t>A neural network model (Ankenbrand, 1998, 67)</w:t>
      </w:r>
    </w:p>
    <w:p w14:paraId="142ECC71" w14:textId="2EE93087" w:rsidR="00723E0A" w:rsidRDefault="00723E0A" w:rsidP="00723E0A">
      <w:pPr>
        <w:pStyle w:val="ListParagraph"/>
        <w:numPr>
          <w:ilvl w:val="0"/>
          <w:numId w:val="32"/>
        </w:numPr>
        <w:jc w:val="both"/>
        <w:rPr>
          <w:rFonts w:ascii="Arial" w:hAnsi="Arial" w:cs="Arial"/>
          <w:lang w:val="en-US"/>
        </w:rPr>
      </w:pPr>
      <w:r>
        <w:rPr>
          <w:rFonts w:ascii="Arial" w:hAnsi="Arial" w:cs="Arial"/>
          <w:lang w:val="en-US"/>
        </w:rPr>
        <w:t>Kernel Regression (unpublished)</w:t>
      </w:r>
    </w:p>
    <w:p w14:paraId="3ABC62AD" w14:textId="3CBE42FC" w:rsidR="00522E11" w:rsidRPr="00723E0A" w:rsidRDefault="00522E11" w:rsidP="00723E0A">
      <w:pPr>
        <w:pStyle w:val="ListParagraph"/>
        <w:numPr>
          <w:ilvl w:val="0"/>
          <w:numId w:val="32"/>
        </w:numPr>
        <w:jc w:val="both"/>
        <w:rPr>
          <w:rFonts w:ascii="Arial" w:hAnsi="Arial" w:cs="Arial"/>
          <w:lang w:val="en-US"/>
        </w:rPr>
      </w:pPr>
      <w:r>
        <w:rPr>
          <w:rFonts w:ascii="Arial" w:hAnsi="Arial" w:cs="Arial"/>
          <w:lang w:val="en-US"/>
        </w:rPr>
        <w:t>David Maturaarbeit</w:t>
      </w:r>
    </w:p>
    <w:p w14:paraId="5D09F6A5" w14:textId="77777777" w:rsidR="005C402E" w:rsidRDefault="005C402E" w:rsidP="005C402E">
      <w:pPr>
        <w:jc w:val="both"/>
        <w:rPr>
          <w:rFonts w:ascii="Arial" w:hAnsi="Arial" w:cs="Arial"/>
          <w:lang w:val="en-US"/>
        </w:rPr>
      </w:pPr>
    </w:p>
    <w:p w14:paraId="09F64506" w14:textId="352EE611" w:rsidR="00496E25" w:rsidRDefault="003026A4" w:rsidP="00F41005">
      <w:pPr>
        <w:jc w:val="both"/>
        <w:rPr>
          <w:rFonts w:ascii="Arial" w:hAnsi="Arial" w:cs="Arial"/>
          <w:lang w:val="en-US"/>
        </w:rPr>
      </w:pPr>
      <w:r>
        <w:rPr>
          <w:rFonts w:ascii="Arial" w:hAnsi="Arial" w:cs="Arial"/>
          <w:lang w:val="en-US"/>
        </w:rPr>
        <w:t>The specification of the neural network model is (Ankenbrand, 1995a)</w:t>
      </w:r>
    </w:p>
    <w:p w14:paraId="47C2A75C" w14:textId="77777777" w:rsidR="00496E25" w:rsidRDefault="00496E25" w:rsidP="00F41005">
      <w:pPr>
        <w:jc w:val="both"/>
        <w:rPr>
          <w:rFonts w:ascii="Arial" w:hAnsi="Arial" w:cs="Arial"/>
          <w:lang w:val="en-US"/>
        </w:rPr>
      </w:pPr>
    </w:p>
    <w:p w14:paraId="119B4666" w14:textId="632F9CD3" w:rsidR="00496E25" w:rsidRDefault="003026A4" w:rsidP="00F41005">
      <w:pPr>
        <w:jc w:val="both"/>
        <w:rPr>
          <w:rFonts w:ascii="Arial" w:hAnsi="Arial" w:cs="Arial"/>
          <w:i/>
          <w:sz w:val="20"/>
          <w:lang w:val="de-CH"/>
        </w:rPr>
      </w:pPr>
      <w:r w:rsidRPr="003026A4">
        <w:rPr>
          <w:rFonts w:ascii="Arial" w:hAnsi="Arial" w:cs="Arial"/>
          <w:i/>
          <w:sz w:val="20"/>
          <w:lang w:val="de-CH"/>
        </w:rPr>
        <w:t>x(t+1) – x(t) = f(du(t), ich(t) – ich(t-1), s(t) – s(t-1))</w:t>
      </w:r>
    </w:p>
    <w:p w14:paraId="34A026D1" w14:textId="77777777" w:rsidR="003026A4" w:rsidRDefault="003026A4" w:rsidP="00F41005">
      <w:pPr>
        <w:jc w:val="both"/>
        <w:rPr>
          <w:rFonts w:ascii="Arial" w:hAnsi="Arial" w:cs="Arial"/>
          <w:sz w:val="20"/>
          <w:lang w:val="de-CH"/>
        </w:rPr>
      </w:pPr>
    </w:p>
    <w:p w14:paraId="1A819C40" w14:textId="77777777" w:rsidR="003026A4" w:rsidRPr="00570805" w:rsidRDefault="003026A4" w:rsidP="003026A4">
      <w:pPr>
        <w:jc w:val="both"/>
        <w:rPr>
          <w:rFonts w:ascii="Arial" w:hAnsi="Arial" w:cs="Arial"/>
          <w:lang w:val="en-US"/>
        </w:rPr>
      </w:pPr>
      <w:r w:rsidRPr="00570805">
        <w:rPr>
          <w:rFonts w:ascii="Arial" w:hAnsi="Arial" w:cs="Arial"/>
          <w:lang w:val="en-US"/>
        </w:rPr>
        <w:t>where</w:t>
      </w:r>
    </w:p>
    <w:p w14:paraId="00E5D0CE" w14:textId="77777777" w:rsidR="003026A4" w:rsidRDefault="003026A4" w:rsidP="003026A4">
      <w:pPr>
        <w:jc w:val="both"/>
        <w:rPr>
          <w:rFonts w:ascii="Arial" w:hAnsi="Arial" w:cs="Arial"/>
          <w:i/>
          <w:lang w:val="en-US"/>
        </w:rPr>
      </w:pPr>
    </w:p>
    <w:p w14:paraId="79541299" w14:textId="6E499AAD" w:rsidR="003026A4" w:rsidRDefault="003026A4" w:rsidP="003026A4">
      <w:pPr>
        <w:jc w:val="both"/>
        <w:rPr>
          <w:rFonts w:ascii="Arial" w:hAnsi="Arial" w:cs="Arial"/>
          <w:lang w:val="en-US"/>
        </w:rPr>
      </w:pPr>
      <w:r w:rsidRPr="00570805">
        <w:rPr>
          <w:rFonts w:ascii="Arial" w:hAnsi="Arial" w:cs="Arial"/>
          <w:i/>
          <w:lang w:val="en-US"/>
        </w:rPr>
        <w:t>x</w:t>
      </w:r>
      <w:r>
        <w:rPr>
          <w:rFonts w:ascii="Arial" w:hAnsi="Arial" w:cs="Arial"/>
          <w:lang w:val="en-US"/>
        </w:rPr>
        <w:t xml:space="preserve"> is</w:t>
      </w:r>
      <w:r w:rsidRPr="00570805">
        <w:rPr>
          <w:rFonts w:ascii="Arial" w:hAnsi="Arial" w:cs="Arial"/>
          <w:lang w:val="en-US"/>
        </w:rPr>
        <w:t xml:space="preserve"> the SPI</w:t>
      </w:r>
    </w:p>
    <w:p w14:paraId="018A9DE0" w14:textId="77081063" w:rsidR="003026A4" w:rsidRPr="00570805" w:rsidRDefault="003026A4" w:rsidP="003026A4">
      <w:pPr>
        <w:jc w:val="both"/>
        <w:rPr>
          <w:rFonts w:ascii="Arial" w:hAnsi="Arial" w:cs="Arial"/>
          <w:lang w:val="en-US"/>
        </w:rPr>
      </w:pPr>
      <w:r w:rsidRPr="003026A4">
        <w:rPr>
          <w:rFonts w:ascii="Arial" w:hAnsi="Arial" w:cs="Arial"/>
          <w:i/>
          <w:lang w:val="en-US"/>
        </w:rPr>
        <w:t>du</w:t>
      </w:r>
      <w:r>
        <w:rPr>
          <w:rFonts w:ascii="Arial" w:hAnsi="Arial" w:cs="Arial"/>
          <w:lang w:val="en-US"/>
        </w:rPr>
        <w:t xml:space="preserve"> is the DEMUSD exchange rate</w:t>
      </w:r>
    </w:p>
    <w:p w14:paraId="295A5F22" w14:textId="77777777" w:rsidR="003026A4" w:rsidRPr="00570805" w:rsidRDefault="003026A4" w:rsidP="003026A4">
      <w:pPr>
        <w:jc w:val="both"/>
        <w:rPr>
          <w:rFonts w:ascii="Arial" w:hAnsi="Arial" w:cs="Arial"/>
          <w:lang w:val="en-US"/>
        </w:rPr>
      </w:pPr>
      <w:r w:rsidRPr="00570805">
        <w:rPr>
          <w:rFonts w:ascii="Arial" w:hAnsi="Arial" w:cs="Arial"/>
          <w:i/>
          <w:lang w:val="en-US"/>
        </w:rPr>
        <w:t>ich</w:t>
      </w:r>
      <w:r w:rsidRPr="00570805">
        <w:rPr>
          <w:rFonts w:ascii="Arial" w:hAnsi="Arial" w:cs="Arial"/>
          <w:lang w:val="en-US"/>
        </w:rPr>
        <w:t xml:space="preserve"> is the Bond CH yield</w:t>
      </w:r>
    </w:p>
    <w:p w14:paraId="18AB5B9A" w14:textId="4852C03C" w:rsidR="003026A4" w:rsidRDefault="003026A4" w:rsidP="003026A4">
      <w:pPr>
        <w:jc w:val="both"/>
        <w:rPr>
          <w:rFonts w:ascii="Arial" w:hAnsi="Arial" w:cs="Arial"/>
          <w:lang w:val="en-US"/>
        </w:rPr>
      </w:pPr>
      <w:r w:rsidRPr="003026A4">
        <w:rPr>
          <w:rFonts w:ascii="Arial" w:hAnsi="Arial" w:cs="Arial"/>
          <w:i/>
          <w:lang w:val="en-US"/>
        </w:rPr>
        <w:t>s</w:t>
      </w:r>
      <w:r>
        <w:rPr>
          <w:rFonts w:ascii="Arial" w:hAnsi="Arial" w:cs="Arial"/>
          <w:lang w:val="en-US"/>
        </w:rPr>
        <w:t xml:space="preserve"> is the S&amp;P 500.</w:t>
      </w:r>
    </w:p>
    <w:p w14:paraId="49A807F6" w14:textId="77777777" w:rsidR="00496E25" w:rsidRPr="00024B42" w:rsidRDefault="00496E25" w:rsidP="00F41005">
      <w:pPr>
        <w:jc w:val="both"/>
        <w:rPr>
          <w:rFonts w:ascii="Arial" w:hAnsi="Arial" w:cs="Arial"/>
          <w:lang w:val="en-US"/>
        </w:rPr>
      </w:pPr>
    </w:p>
    <w:p w14:paraId="5D18B420" w14:textId="240E50BF" w:rsidR="00570805" w:rsidRDefault="00570805" w:rsidP="00F41005">
      <w:pPr>
        <w:jc w:val="both"/>
        <w:rPr>
          <w:rFonts w:ascii="Arial" w:hAnsi="Arial" w:cs="Arial"/>
          <w:lang w:val="en-US"/>
        </w:rPr>
      </w:pPr>
      <w:r>
        <w:rPr>
          <w:rFonts w:ascii="Arial" w:hAnsi="Arial" w:cs="Arial"/>
          <w:lang w:val="en-US"/>
        </w:rPr>
        <w:t>The specification of the linear regression model is (Ankenbrand, 1998, 65)</w:t>
      </w:r>
    </w:p>
    <w:p w14:paraId="543C7EE2" w14:textId="77777777" w:rsidR="00570805" w:rsidRDefault="00570805" w:rsidP="00F41005">
      <w:pPr>
        <w:jc w:val="both"/>
        <w:rPr>
          <w:rFonts w:ascii="Arial" w:hAnsi="Arial" w:cs="Arial"/>
          <w:lang w:val="en-US"/>
        </w:rPr>
      </w:pPr>
    </w:p>
    <w:p w14:paraId="2FDC9997" w14:textId="189DDE36" w:rsidR="00570805" w:rsidRPr="00570805" w:rsidRDefault="00570805" w:rsidP="00F41005">
      <w:pPr>
        <w:jc w:val="both"/>
        <w:rPr>
          <w:rFonts w:ascii="Arial" w:hAnsi="Arial" w:cs="Arial"/>
          <w:i/>
          <w:sz w:val="20"/>
          <w:lang w:val="de-CH"/>
        </w:rPr>
      </w:pPr>
      <w:r w:rsidRPr="00570805">
        <w:rPr>
          <w:rFonts w:ascii="Arial" w:hAnsi="Arial" w:cs="Arial"/>
          <w:i/>
          <w:sz w:val="20"/>
          <w:lang w:val="de-CH"/>
        </w:rPr>
        <w:t>x(t+1) – x(t) = 0.0008(d(t) – d(t-1)) – 0.7(ich(t) – ich(t-1)) – 0.4(ius(t) – ius(t-1)) – 0.1(ij(t) – ij(t-1))</w:t>
      </w:r>
    </w:p>
    <w:p w14:paraId="7B626FF7" w14:textId="77777777" w:rsidR="00570805" w:rsidRDefault="00570805" w:rsidP="00F41005">
      <w:pPr>
        <w:jc w:val="both"/>
        <w:rPr>
          <w:rFonts w:ascii="Arial" w:hAnsi="Arial" w:cs="Arial"/>
          <w:lang w:val="de-CH"/>
        </w:rPr>
      </w:pPr>
    </w:p>
    <w:p w14:paraId="0A6E5956" w14:textId="4CC65DE6" w:rsidR="00570805" w:rsidRPr="00570805" w:rsidRDefault="00570805" w:rsidP="00F41005">
      <w:pPr>
        <w:jc w:val="both"/>
        <w:rPr>
          <w:rFonts w:ascii="Arial" w:hAnsi="Arial" w:cs="Arial"/>
          <w:lang w:val="en-US"/>
        </w:rPr>
      </w:pPr>
      <w:r w:rsidRPr="00570805">
        <w:rPr>
          <w:rFonts w:ascii="Arial" w:hAnsi="Arial" w:cs="Arial"/>
          <w:lang w:val="en-US"/>
        </w:rPr>
        <w:t>where</w:t>
      </w:r>
    </w:p>
    <w:p w14:paraId="0B88289C" w14:textId="77777777" w:rsidR="003026A4" w:rsidRDefault="003026A4" w:rsidP="00F41005">
      <w:pPr>
        <w:jc w:val="both"/>
        <w:rPr>
          <w:rFonts w:ascii="Arial" w:hAnsi="Arial" w:cs="Arial"/>
          <w:i/>
          <w:lang w:val="en-US"/>
        </w:rPr>
      </w:pPr>
    </w:p>
    <w:p w14:paraId="4665DC6F" w14:textId="134FEDE2" w:rsidR="00570805" w:rsidRPr="00570805" w:rsidRDefault="00570805" w:rsidP="00F41005">
      <w:pPr>
        <w:jc w:val="both"/>
        <w:rPr>
          <w:rFonts w:ascii="Arial" w:hAnsi="Arial" w:cs="Arial"/>
          <w:lang w:val="en-US"/>
        </w:rPr>
      </w:pPr>
      <w:r w:rsidRPr="00570805">
        <w:rPr>
          <w:rFonts w:ascii="Arial" w:hAnsi="Arial" w:cs="Arial"/>
          <w:i/>
          <w:lang w:val="en-US"/>
        </w:rPr>
        <w:t>x</w:t>
      </w:r>
      <w:r w:rsidR="003026A4">
        <w:rPr>
          <w:rFonts w:ascii="Arial" w:hAnsi="Arial" w:cs="Arial"/>
          <w:lang w:val="en-US"/>
        </w:rPr>
        <w:t xml:space="preserve"> is</w:t>
      </w:r>
      <w:r w:rsidRPr="00570805">
        <w:rPr>
          <w:rFonts w:ascii="Arial" w:hAnsi="Arial" w:cs="Arial"/>
          <w:lang w:val="en-US"/>
        </w:rPr>
        <w:t xml:space="preserve"> the SPI</w:t>
      </w:r>
    </w:p>
    <w:p w14:paraId="1E2AACD5" w14:textId="72A27115" w:rsidR="00570805" w:rsidRPr="00570805" w:rsidRDefault="00570805" w:rsidP="00F41005">
      <w:pPr>
        <w:jc w:val="both"/>
        <w:rPr>
          <w:rFonts w:ascii="Arial" w:hAnsi="Arial" w:cs="Arial"/>
          <w:lang w:val="en-US"/>
        </w:rPr>
      </w:pPr>
      <w:r w:rsidRPr="00570805">
        <w:rPr>
          <w:rFonts w:ascii="Arial" w:hAnsi="Arial" w:cs="Arial"/>
          <w:i/>
          <w:lang w:val="en-US"/>
        </w:rPr>
        <w:t>ich</w:t>
      </w:r>
      <w:r w:rsidRPr="00570805">
        <w:rPr>
          <w:rFonts w:ascii="Arial" w:hAnsi="Arial" w:cs="Arial"/>
          <w:lang w:val="en-US"/>
        </w:rPr>
        <w:t xml:space="preserve"> is the Bond CH yield</w:t>
      </w:r>
    </w:p>
    <w:p w14:paraId="62019AF4" w14:textId="16A7220D" w:rsidR="00570805" w:rsidRDefault="00570805" w:rsidP="00F41005">
      <w:pPr>
        <w:jc w:val="both"/>
        <w:rPr>
          <w:rFonts w:ascii="Arial" w:hAnsi="Arial" w:cs="Arial"/>
          <w:lang w:val="en-US"/>
        </w:rPr>
      </w:pPr>
      <w:r w:rsidRPr="00570805">
        <w:rPr>
          <w:rFonts w:ascii="Arial" w:hAnsi="Arial" w:cs="Arial"/>
          <w:i/>
          <w:lang w:val="en-US"/>
        </w:rPr>
        <w:t>ius</w:t>
      </w:r>
      <w:r>
        <w:rPr>
          <w:rFonts w:ascii="Arial" w:hAnsi="Arial" w:cs="Arial"/>
          <w:lang w:val="en-US"/>
        </w:rPr>
        <w:t xml:space="preserve"> is the Bond US yield</w:t>
      </w:r>
    </w:p>
    <w:p w14:paraId="1956166D" w14:textId="5898970C" w:rsidR="00570805" w:rsidRDefault="00570805" w:rsidP="00F41005">
      <w:pPr>
        <w:jc w:val="both"/>
        <w:rPr>
          <w:rFonts w:ascii="Arial" w:hAnsi="Arial" w:cs="Arial"/>
          <w:lang w:val="en-US"/>
        </w:rPr>
      </w:pPr>
      <w:r w:rsidRPr="00570805">
        <w:rPr>
          <w:rFonts w:ascii="Arial" w:hAnsi="Arial" w:cs="Arial"/>
          <w:i/>
          <w:lang w:val="en-US"/>
        </w:rPr>
        <w:t>ij</w:t>
      </w:r>
      <w:r>
        <w:rPr>
          <w:rFonts w:ascii="Arial" w:hAnsi="Arial" w:cs="Arial"/>
          <w:lang w:val="en-US"/>
        </w:rPr>
        <w:t xml:space="preserve"> is the Bond J yield</w:t>
      </w:r>
    </w:p>
    <w:p w14:paraId="20F0FFF8" w14:textId="204F468A" w:rsidR="00570805" w:rsidRDefault="00570805" w:rsidP="00F41005">
      <w:pPr>
        <w:jc w:val="both"/>
        <w:rPr>
          <w:rFonts w:ascii="Arial" w:hAnsi="Arial" w:cs="Arial"/>
          <w:lang w:val="en-US"/>
        </w:rPr>
      </w:pPr>
      <w:r w:rsidRPr="00570805">
        <w:rPr>
          <w:rFonts w:ascii="Arial" w:hAnsi="Arial" w:cs="Arial"/>
          <w:i/>
          <w:lang w:val="en-US"/>
        </w:rPr>
        <w:t>d</w:t>
      </w:r>
      <w:r>
        <w:rPr>
          <w:rFonts w:ascii="Arial" w:hAnsi="Arial" w:cs="Arial"/>
          <w:lang w:val="en-US"/>
        </w:rPr>
        <w:t xml:space="preserve"> is the DAX.</w:t>
      </w:r>
    </w:p>
    <w:p w14:paraId="03F7C97D" w14:textId="77777777" w:rsidR="00570805" w:rsidRDefault="00570805" w:rsidP="00F41005">
      <w:pPr>
        <w:jc w:val="both"/>
        <w:rPr>
          <w:rFonts w:ascii="Arial" w:hAnsi="Arial" w:cs="Arial"/>
          <w:lang w:val="en-US"/>
        </w:rPr>
      </w:pPr>
    </w:p>
    <w:p w14:paraId="1C51E5DD" w14:textId="3ACFC50F" w:rsidR="00570805" w:rsidRDefault="00AE407B" w:rsidP="00F41005">
      <w:pPr>
        <w:jc w:val="both"/>
        <w:rPr>
          <w:rFonts w:ascii="Arial" w:hAnsi="Arial" w:cs="Arial"/>
          <w:lang w:val="en-US"/>
        </w:rPr>
      </w:pPr>
      <w:r>
        <w:rPr>
          <w:rFonts w:ascii="Arial" w:hAnsi="Arial" w:cs="Arial"/>
          <w:lang w:val="en-US"/>
        </w:rPr>
        <w:t>The in</w:t>
      </w:r>
      <w:r w:rsidR="00F9438E">
        <w:rPr>
          <w:rFonts w:ascii="Arial" w:hAnsi="Arial" w:cs="Arial"/>
          <w:lang w:val="en-US"/>
        </w:rPr>
        <w:t>-</w:t>
      </w:r>
      <w:r>
        <w:rPr>
          <w:rFonts w:ascii="Arial" w:hAnsi="Arial" w:cs="Arial"/>
          <w:lang w:val="en-US"/>
        </w:rPr>
        <w:t>sample data are from January 1987 to December 1996 on a monthly basis.</w:t>
      </w:r>
    </w:p>
    <w:p w14:paraId="0CEC1EF0" w14:textId="77777777" w:rsidR="00570805" w:rsidRPr="00570805" w:rsidRDefault="00570805" w:rsidP="00F41005">
      <w:pPr>
        <w:jc w:val="both"/>
        <w:rPr>
          <w:rFonts w:ascii="Arial" w:hAnsi="Arial" w:cs="Arial"/>
          <w:lang w:val="en-US"/>
        </w:rPr>
      </w:pPr>
    </w:p>
    <w:p w14:paraId="3FFA9233" w14:textId="759FB9EE" w:rsidR="00F41005" w:rsidRDefault="00F41005" w:rsidP="00F41005">
      <w:pPr>
        <w:jc w:val="both"/>
        <w:rPr>
          <w:rFonts w:ascii="Arial" w:hAnsi="Arial" w:cs="Arial"/>
          <w:lang w:val="en-US"/>
        </w:rPr>
      </w:pPr>
      <w:r>
        <w:rPr>
          <w:rFonts w:ascii="Arial" w:hAnsi="Arial" w:cs="Arial"/>
          <w:lang w:val="en-US"/>
        </w:rPr>
        <w:t xml:space="preserve">Base on Ankenbrand (1998) the following investors are in addition to trend follower tested: </w:t>
      </w:r>
      <w:r w:rsidRPr="00117061">
        <w:rPr>
          <w:rFonts w:ascii="Arial" w:hAnsi="Arial" w:cs="Arial"/>
          <w:lang w:val="en-US"/>
        </w:rPr>
        <w:t>DAX</w:t>
      </w:r>
      <w:r>
        <w:rPr>
          <w:rFonts w:ascii="Arial" w:hAnsi="Arial" w:cs="Arial"/>
          <w:lang w:val="en-US"/>
        </w:rPr>
        <w:t>, Bond US, Bond YEN, Bond CHF, EURUSD and S&amp;P 500. The highest improvement is the S&amp;P 500 delivering.</w:t>
      </w:r>
    </w:p>
    <w:p w14:paraId="0BACC7D8" w14:textId="7E7B4E8E" w:rsidR="00585D91" w:rsidRDefault="00585D91" w:rsidP="00F41005">
      <w:pPr>
        <w:jc w:val="both"/>
        <w:rPr>
          <w:rFonts w:ascii="Arial" w:hAnsi="Arial" w:cs="Arial"/>
          <w:lang w:val="en-US"/>
        </w:rPr>
      </w:pPr>
    </w:p>
    <w:p w14:paraId="5B819A6A" w14:textId="0F55F0FC" w:rsidR="00585D91" w:rsidRDefault="00585D91" w:rsidP="00F41005">
      <w:pPr>
        <w:jc w:val="both"/>
        <w:rPr>
          <w:rFonts w:ascii="Arial" w:hAnsi="Arial" w:cs="Arial"/>
          <w:lang w:val="en-US"/>
        </w:rPr>
      </w:pPr>
      <w:r w:rsidRPr="00585D91">
        <w:rPr>
          <w:rFonts w:ascii="Arial" w:hAnsi="Arial" w:cs="Arial"/>
          <w:lang w:val="en-US"/>
        </w:rPr>
        <w:t>Feng, Gigilio and Xiu (2020) test</w:t>
      </w:r>
      <w:r>
        <w:rPr>
          <w:rFonts w:ascii="Arial" w:hAnsi="Arial" w:cs="Arial"/>
          <w:lang w:val="en-US"/>
        </w:rPr>
        <w:t xml:space="preserve"> 150 factors on their influence </w:t>
      </w:r>
      <w:r w:rsidR="00F9438E">
        <w:rPr>
          <w:rFonts w:ascii="Arial" w:hAnsi="Arial" w:cs="Arial"/>
          <w:lang w:val="en-US"/>
        </w:rPr>
        <w:t>on</w:t>
      </w:r>
      <w:r>
        <w:rPr>
          <w:rFonts w:ascii="Arial" w:hAnsi="Arial" w:cs="Arial"/>
          <w:lang w:val="en-US"/>
        </w:rPr>
        <w:t xml:space="preserve"> stock prices.</w:t>
      </w:r>
    </w:p>
    <w:p w14:paraId="6F0AA898" w14:textId="77777777" w:rsidR="00F00F8F" w:rsidRPr="00585D91" w:rsidRDefault="00F00F8F" w:rsidP="00F41005">
      <w:pPr>
        <w:jc w:val="both"/>
        <w:rPr>
          <w:rFonts w:ascii="Arial" w:hAnsi="Arial" w:cs="Arial"/>
          <w:lang w:val="en-US"/>
        </w:rPr>
      </w:pPr>
    </w:p>
    <w:p w14:paraId="58A5929A" w14:textId="77777777"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Swiss Bond Market</w:t>
      </w:r>
    </w:p>
    <w:p w14:paraId="62F5FF80" w14:textId="77777777" w:rsidR="005527D5" w:rsidRPr="00F00F8F" w:rsidRDefault="005527D5" w:rsidP="00F00F8F">
      <w:pPr>
        <w:jc w:val="both"/>
        <w:rPr>
          <w:rFonts w:ascii="Arial" w:hAnsi="Arial" w:cs="Arial"/>
          <w:lang w:val="en-US"/>
        </w:rPr>
      </w:pPr>
    </w:p>
    <w:p w14:paraId="1257BE60" w14:textId="77777777"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Swiss Real Estate Market</w:t>
      </w:r>
    </w:p>
    <w:p w14:paraId="1C838689" w14:textId="7CCCF35B" w:rsidR="00F0739E" w:rsidRDefault="00F0739E" w:rsidP="00F00F8F">
      <w:pPr>
        <w:jc w:val="both"/>
        <w:rPr>
          <w:rFonts w:ascii="Arial" w:hAnsi="Arial" w:cs="Arial"/>
          <w:lang w:val="en-US"/>
        </w:rPr>
      </w:pPr>
    </w:p>
    <w:p w14:paraId="030E09A8" w14:textId="77777777" w:rsidR="00F0739E" w:rsidRPr="005168CF" w:rsidRDefault="00F0739E" w:rsidP="00F00F8F">
      <w:pPr>
        <w:jc w:val="both"/>
        <w:rPr>
          <w:rFonts w:ascii="Arial" w:hAnsi="Arial" w:cs="Arial"/>
          <w:lang w:val="en-US"/>
        </w:rPr>
      </w:pPr>
      <w:r>
        <w:rPr>
          <w:rFonts w:ascii="Arial" w:hAnsi="Arial" w:cs="Arial"/>
          <w:lang w:val="en-US"/>
        </w:rPr>
        <w:t>The</w:t>
      </w:r>
      <w:r w:rsidRPr="005168CF">
        <w:rPr>
          <w:rFonts w:ascii="Arial" w:hAnsi="Arial" w:cs="Arial"/>
          <w:lang w:val="en-US"/>
        </w:rPr>
        <w:t xml:space="preserve"> agents are grouped in three different classes representing real-world investors: Institutional investors, private residents or self-users and trend followers or speculators. Depending on their class, agents invest in either the SWX IAZI Investment Real Estate Price Index (SI Investment PR; IAZI, 2014a), and/or SWX IAZI Private Real Estate Price Index (SI Private PR; IAZI, 2014b). To make trading decisions, they rely on a set of both technical and fundamental factors based on the </w:t>
      </w:r>
      <w:r w:rsidRPr="005168CF">
        <w:rPr>
          <w:rFonts w:ascii="Arial" w:hAnsi="Arial" w:cs="Arial"/>
          <w:lang w:val="en-US"/>
        </w:rPr>
        <w:lastRenderedPageBreak/>
        <w:t>movements of different time series</w:t>
      </w:r>
      <w:r w:rsidRPr="00F00F8F">
        <w:footnoteReference w:id="1"/>
      </w:r>
      <w:r w:rsidRPr="005168CF">
        <w:rPr>
          <w:rFonts w:ascii="Arial" w:hAnsi="Arial" w:cs="Arial"/>
          <w:lang w:val="en-US"/>
        </w:rPr>
        <w:t>. Their decision includes whether to buy or sell the index or alternatively to take no action. Table 1 gives an overview on all agent classes, the index they trade and the time series they use as input decision factors.</w:t>
      </w:r>
    </w:p>
    <w:p w14:paraId="4C952D13" w14:textId="77777777" w:rsidR="00F0739E" w:rsidRPr="005168CF" w:rsidRDefault="00F0739E" w:rsidP="00F0739E">
      <w:pPr>
        <w:jc w:val="both"/>
        <w:rPr>
          <w:rFonts w:ascii="Arial" w:hAnsi="Arial" w:cs="Arial"/>
          <w:lang w:val="en-US"/>
        </w:rPr>
      </w:pPr>
    </w:p>
    <w:p w14:paraId="11EF10D8" w14:textId="77777777" w:rsidR="00F0739E" w:rsidRPr="005168CF" w:rsidRDefault="00F0739E" w:rsidP="00F0739E">
      <w:pPr>
        <w:pStyle w:val="Caption"/>
        <w:spacing w:line="276" w:lineRule="auto"/>
        <w:jc w:val="both"/>
        <w:rPr>
          <w:rFonts w:ascii="Arial" w:hAnsi="Arial" w:cs="Arial"/>
          <w:color w:val="000000" w:themeColor="text1"/>
          <w:lang w:val="en-US"/>
        </w:rPr>
      </w:pPr>
      <w:r w:rsidRPr="005168CF">
        <w:rPr>
          <w:rFonts w:ascii="Arial" w:hAnsi="Arial" w:cs="Arial"/>
          <w:color w:val="000000" w:themeColor="text1"/>
          <w:sz w:val="22"/>
          <w:szCs w:val="22"/>
          <w:lang w:val="en-US"/>
        </w:rPr>
        <w:t>Table 1: Agent classes, traded indices and input decision factors</w:t>
      </w:r>
    </w:p>
    <w:tbl>
      <w:tblPr>
        <w:tblStyle w:val="TableGrid"/>
        <w:tblW w:w="0" w:type="auto"/>
        <w:tblInd w:w="-459" w:type="dxa"/>
        <w:tblLayout w:type="fixed"/>
        <w:tblLook w:val="04A0" w:firstRow="1" w:lastRow="0" w:firstColumn="1" w:lastColumn="0" w:noHBand="0" w:noVBand="1"/>
      </w:tblPr>
      <w:tblGrid>
        <w:gridCol w:w="1985"/>
        <w:gridCol w:w="2551"/>
        <w:gridCol w:w="2521"/>
        <w:gridCol w:w="2684"/>
      </w:tblGrid>
      <w:tr w:rsidR="00F0739E" w:rsidRPr="005168CF" w14:paraId="6B7967D2" w14:textId="77777777" w:rsidTr="00F20F54">
        <w:trPr>
          <w:cantSplit/>
          <w:trHeight w:val="645"/>
        </w:trPr>
        <w:tc>
          <w:tcPr>
            <w:tcW w:w="1985" w:type="dxa"/>
          </w:tcPr>
          <w:p w14:paraId="1B65D7E8" w14:textId="77777777" w:rsidR="00F0739E" w:rsidRPr="005168CF" w:rsidRDefault="00F0739E" w:rsidP="00F20F54">
            <w:pPr>
              <w:spacing w:line="276" w:lineRule="auto"/>
              <w:jc w:val="both"/>
              <w:rPr>
                <w:rFonts w:ascii="Arial" w:hAnsi="Arial" w:cs="Arial"/>
                <w:i/>
                <w:lang w:val="en-US"/>
              </w:rPr>
            </w:pPr>
            <w:r w:rsidRPr="005168CF">
              <w:rPr>
                <w:rFonts w:ascii="Arial" w:hAnsi="Arial" w:cs="Arial"/>
                <w:i/>
                <w:lang w:val="en-US"/>
              </w:rPr>
              <w:t>Agent class</w:t>
            </w:r>
          </w:p>
        </w:tc>
        <w:tc>
          <w:tcPr>
            <w:tcW w:w="2551" w:type="dxa"/>
          </w:tcPr>
          <w:p w14:paraId="2D18A3EB" w14:textId="77777777" w:rsidR="00F0739E" w:rsidRPr="005168CF" w:rsidRDefault="00F0739E" w:rsidP="00F20F54">
            <w:pPr>
              <w:spacing w:line="276" w:lineRule="auto"/>
              <w:jc w:val="both"/>
              <w:rPr>
                <w:rFonts w:ascii="Arial" w:hAnsi="Arial" w:cs="Arial"/>
                <w:b/>
                <w:lang w:val="en-US"/>
              </w:rPr>
            </w:pPr>
            <w:r w:rsidRPr="005168CF">
              <w:rPr>
                <w:rFonts w:ascii="Arial" w:hAnsi="Arial" w:cs="Arial"/>
                <w:b/>
                <w:lang w:val="en-US"/>
              </w:rPr>
              <w:t>Institutional Investors</w:t>
            </w:r>
          </w:p>
        </w:tc>
        <w:tc>
          <w:tcPr>
            <w:tcW w:w="2521" w:type="dxa"/>
          </w:tcPr>
          <w:p w14:paraId="25553089" w14:textId="77777777" w:rsidR="00F0739E" w:rsidRPr="005168CF" w:rsidRDefault="00F0739E" w:rsidP="00F20F54">
            <w:pPr>
              <w:spacing w:line="276" w:lineRule="auto"/>
              <w:jc w:val="both"/>
              <w:rPr>
                <w:rFonts w:ascii="Arial" w:hAnsi="Arial" w:cs="Arial"/>
                <w:b/>
                <w:lang w:val="en-US"/>
              </w:rPr>
            </w:pPr>
            <w:r w:rsidRPr="005168CF">
              <w:rPr>
                <w:rFonts w:ascii="Arial" w:hAnsi="Arial" w:cs="Arial"/>
                <w:b/>
                <w:lang w:val="en-US"/>
              </w:rPr>
              <w:t>Private residents/ self-users</w:t>
            </w:r>
          </w:p>
        </w:tc>
        <w:tc>
          <w:tcPr>
            <w:tcW w:w="2684" w:type="dxa"/>
          </w:tcPr>
          <w:p w14:paraId="5033BA28" w14:textId="77777777" w:rsidR="00F0739E" w:rsidRPr="005168CF" w:rsidRDefault="00F0739E" w:rsidP="00F20F54">
            <w:pPr>
              <w:spacing w:line="276" w:lineRule="auto"/>
              <w:jc w:val="both"/>
              <w:rPr>
                <w:rFonts w:ascii="Arial" w:hAnsi="Arial" w:cs="Arial"/>
                <w:b/>
                <w:lang w:val="en-US"/>
              </w:rPr>
            </w:pPr>
            <w:r w:rsidRPr="005168CF">
              <w:rPr>
                <w:rFonts w:ascii="Arial" w:hAnsi="Arial" w:cs="Arial"/>
                <w:b/>
                <w:lang w:val="en-US"/>
              </w:rPr>
              <w:t>Trend followers/ speculators</w:t>
            </w:r>
          </w:p>
        </w:tc>
      </w:tr>
      <w:tr w:rsidR="00F0739E" w:rsidRPr="005168CF" w14:paraId="45740091" w14:textId="77777777" w:rsidTr="00F20F54">
        <w:trPr>
          <w:cantSplit/>
          <w:trHeight w:val="1134"/>
        </w:trPr>
        <w:tc>
          <w:tcPr>
            <w:tcW w:w="1985" w:type="dxa"/>
          </w:tcPr>
          <w:p w14:paraId="2B90D495" w14:textId="77777777" w:rsidR="00F0739E" w:rsidRPr="005168CF" w:rsidRDefault="00F0739E" w:rsidP="00F20F54">
            <w:pPr>
              <w:spacing w:line="276" w:lineRule="auto"/>
              <w:jc w:val="both"/>
              <w:rPr>
                <w:rFonts w:ascii="Arial" w:hAnsi="Arial" w:cs="Arial"/>
                <w:i/>
                <w:lang w:val="en-US"/>
              </w:rPr>
            </w:pPr>
            <w:r w:rsidRPr="005168CF">
              <w:rPr>
                <w:rFonts w:ascii="Arial" w:hAnsi="Arial" w:cs="Arial"/>
                <w:i/>
                <w:lang w:val="en-US"/>
              </w:rPr>
              <w:t>Characteristics</w:t>
            </w:r>
          </w:p>
        </w:tc>
        <w:tc>
          <w:tcPr>
            <w:tcW w:w="2551" w:type="dxa"/>
          </w:tcPr>
          <w:p w14:paraId="6E38242E" w14:textId="77777777" w:rsidR="00F0739E" w:rsidRPr="005168CF" w:rsidRDefault="00F0739E" w:rsidP="00F20F54">
            <w:pPr>
              <w:pStyle w:val="ListParagraph"/>
              <w:numPr>
                <w:ilvl w:val="0"/>
                <w:numId w:val="12"/>
              </w:numPr>
              <w:spacing w:line="276" w:lineRule="auto"/>
              <w:ind w:left="350"/>
              <w:jc w:val="both"/>
              <w:rPr>
                <w:rFonts w:ascii="Arial" w:hAnsi="Arial" w:cs="Arial"/>
                <w:lang w:val="en-US"/>
              </w:rPr>
            </w:pPr>
            <w:r w:rsidRPr="005168CF">
              <w:rPr>
                <w:rFonts w:ascii="Arial" w:hAnsi="Arial" w:cs="Arial"/>
                <w:lang w:val="en-US"/>
              </w:rPr>
              <w:t>Insurance companies, pension and real estate funds</w:t>
            </w:r>
          </w:p>
          <w:p w14:paraId="7AD0E08F" w14:textId="77777777" w:rsidR="00F0739E" w:rsidRPr="005168CF" w:rsidRDefault="00F0739E" w:rsidP="00F20F54">
            <w:pPr>
              <w:pStyle w:val="ListParagraph"/>
              <w:numPr>
                <w:ilvl w:val="0"/>
                <w:numId w:val="12"/>
              </w:numPr>
              <w:spacing w:line="276" w:lineRule="auto"/>
              <w:ind w:left="350"/>
              <w:jc w:val="both"/>
              <w:rPr>
                <w:rFonts w:ascii="Arial" w:hAnsi="Arial" w:cs="Arial"/>
                <w:lang w:val="en-US"/>
              </w:rPr>
            </w:pPr>
            <w:r w:rsidRPr="005168CF">
              <w:rPr>
                <w:rFonts w:ascii="Arial" w:hAnsi="Arial" w:cs="Arial"/>
                <w:lang w:val="en-US"/>
              </w:rPr>
              <w:t>A mid- to long-term investment perspective</w:t>
            </w:r>
          </w:p>
          <w:p w14:paraId="3A43C4DC" w14:textId="77777777" w:rsidR="00F0739E" w:rsidRPr="005168CF" w:rsidRDefault="00F0739E" w:rsidP="00F20F54">
            <w:pPr>
              <w:pStyle w:val="ListParagraph"/>
              <w:numPr>
                <w:ilvl w:val="0"/>
                <w:numId w:val="12"/>
              </w:numPr>
              <w:spacing w:line="276" w:lineRule="auto"/>
              <w:ind w:left="350"/>
              <w:jc w:val="both"/>
              <w:rPr>
                <w:rFonts w:ascii="Arial" w:hAnsi="Arial" w:cs="Arial"/>
                <w:lang w:val="en-US"/>
              </w:rPr>
            </w:pPr>
            <w:r w:rsidRPr="005168CF">
              <w:rPr>
                <w:rFonts w:ascii="Arial" w:hAnsi="Arial" w:cs="Arial"/>
                <w:lang w:val="en-US"/>
              </w:rPr>
              <w:t>Low leverage</w:t>
            </w:r>
          </w:p>
          <w:p w14:paraId="54E40FF3" w14:textId="77777777" w:rsidR="00F0739E" w:rsidRPr="005168CF" w:rsidRDefault="00F0739E" w:rsidP="00F20F54">
            <w:pPr>
              <w:pStyle w:val="ListParagraph"/>
              <w:numPr>
                <w:ilvl w:val="0"/>
                <w:numId w:val="12"/>
              </w:numPr>
              <w:spacing w:line="276" w:lineRule="auto"/>
              <w:ind w:left="350"/>
              <w:jc w:val="both"/>
              <w:rPr>
                <w:rFonts w:ascii="Arial" w:hAnsi="Arial" w:cs="Arial"/>
                <w:lang w:val="en-US"/>
              </w:rPr>
            </w:pPr>
            <w:r w:rsidRPr="005168CF">
              <w:rPr>
                <w:rFonts w:ascii="Arial" w:hAnsi="Arial" w:cs="Arial"/>
                <w:lang w:val="en-US"/>
              </w:rPr>
              <w:t>Investment in property as an alternative to bonds or stocks</w:t>
            </w:r>
          </w:p>
          <w:p w14:paraId="4C44C9EC" w14:textId="77777777" w:rsidR="00F0739E" w:rsidRPr="005168CF" w:rsidRDefault="00F0739E" w:rsidP="00F20F54">
            <w:pPr>
              <w:pStyle w:val="ListParagraph"/>
              <w:numPr>
                <w:ilvl w:val="0"/>
                <w:numId w:val="12"/>
              </w:numPr>
              <w:spacing w:line="276" w:lineRule="auto"/>
              <w:ind w:left="350"/>
              <w:jc w:val="both"/>
              <w:rPr>
                <w:rFonts w:ascii="Arial" w:hAnsi="Arial" w:cs="Arial"/>
                <w:lang w:val="en-US"/>
              </w:rPr>
            </w:pPr>
            <w:r w:rsidRPr="005168CF">
              <w:rPr>
                <w:rFonts w:ascii="Arial" w:hAnsi="Arial" w:cs="Arial"/>
                <w:lang w:val="en-US"/>
              </w:rPr>
              <w:t>Perform technical and fundamental analysis</w:t>
            </w:r>
          </w:p>
        </w:tc>
        <w:tc>
          <w:tcPr>
            <w:tcW w:w="2521" w:type="dxa"/>
          </w:tcPr>
          <w:p w14:paraId="06034B1D" w14:textId="77777777" w:rsidR="00F0739E" w:rsidRPr="005168CF" w:rsidRDefault="00F0739E" w:rsidP="00F20F54">
            <w:pPr>
              <w:pStyle w:val="ListParagraph"/>
              <w:numPr>
                <w:ilvl w:val="0"/>
                <w:numId w:val="12"/>
              </w:numPr>
              <w:spacing w:line="276" w:lineRule="auto"/>
              <w:ind w:left="318"/>
              <w:jc w:val="both"/>
              <w:rPr>
                <w:rFonts w:ascii="Arial" w:hAnsi="Arial" w:cs="Arial"/>
                <w:lang w:val="en-US"/>
              </w:rPr>
            </w:pPr>
            <w:r w:rsidRPr="005168CF">
              <w:rPr>
                <w:rFonts w:ascii="Arial" w:hAnsi="Arial" w:cs="Arial"/>
                <w:lang w:val="en-US"/>
              </w:rPr>
              <w:t>Potential land- and house owners who buy real estate for their own, private use</w:t>
            </w:r>
          </w:p>
          <w:p w14:paraId="47654BFC" w14:textId="77777777" w:rsidR="00F0739E" w:rsidRPr="005168CF" w:rsidRDefault="00F0739E" w:rsidP="00F20F54">
            <w:pPr>
              <w:pStyle w:val="ListParagraph"/>
              <w:numPr>
                <w:ilvl w:val="0"/>
                <w:numId w:val="12"/>
              </w:numPr>
              <w:spacing w:line="276" w:lineRule="auto"/>
              <w:ind w:left="318"/>
              <w:jc w:val="both"/>
              <w:rPr>
                <w:rFonts w:ascii="Arial" w:hAnsi="Arial" w:cs="Arial"/>
                <w:lang w:val="en-US"/>
              </w:rPr>
            </w:pPr>
            <w:r w:rsidRPr="005168CF">
              <w:rPr>
                <w:rFonts w:ascii="Arial" w:hAnsi="Arial" w:cs="Arial"/>
                <w:lang w:val="en-US"/>
              </w:rPr>
              <w:t>A long-term perspective</w:t>
            </w:r>
          </w:p>
        </w:tc>
        <w:tc>
          <w:tcPr>
            <w:tcW w:w="2684" w:type="dxa"/>
          </w:tcPr>
          <w:p w14:paraId="1420E215" w14:textId="77777777" w:rsidR="00F0739E" w:rsidRPr="005168CF" w:rsidRDefault="00F0739E" w:rsidP="00F20F54">
            <w:pPr>
              <w:pStyle w:val="ListParagraph"/>
              <w:numPr>
                <w:ilvl w:val="0"/>
                <w:numId w:val="12"/>
              </w:numPr>
              <w:spacing w:line="276" w:lineRule="auto"/>
              <w:ind w:left="348"/>
              <w:jc w:val="both"/>
              <w:rPr>
                <w:rFonts w:ascii="Arial" w:hAnsi="Arial" w:cs="Arial"/>
                <w:lang w:val="en-US"/>
              </w:rPr>
            </w:pPr>
            <w:r w:rsidRPr="005168CF">
              <w:rPr>
                <w:rFonts w:ascii="Arial" w:hAnsi="Arial" w:cs="Arial"/>
                <w:lang w:val="en-US"/>
              </w:rPr>
              <w:t>Trade real estate for speculative reasons</w:t>
            </w:r>
          </w:p>
          <w:p w14:paraId="4C8E09CF" w14:textId="77777777" w:rsidR="00F0739E" w:rsidRPr="005168CF" w:rsidRDefault="00F0739E" w:rsidP="00F20F54">
            <w:pPr>
              <w:pStyle w:val="ListParagraph"/>
              <w:numPr>
                <w:ilvl w:val="0"/>
                <w:numId w:val="12"/>
              </w:numPr>
              <w:spacing w:line="276" w:lineRule="auto"/>
              <w:ind w:left="348"/>
              <w:jc w:val="both"/>
              <w:rPr>
                <w:rFonts w:ascii="Arial" w:hAnsi="Arial" w:cs="Arial"/>
                <w:lang w:val="en-US"/>
              </w:rPr>
            </w:pPr>
            <w:r w:rsidRPr="005168CF">
              <w:rPr>
                <w:rFonts w:ascii="Arial" w:hAnsi="Arial" w:cs="Arial"/>
                <w:lang w:val="en-US"/>
              </w:rPr>
              <w:t>Always follow the markets’ trends</w:t>
            </w:r>
          </w:p>
          <w:p w14:paraId="001B1D4D" w14:textId="77777777" w:rsidR="00F0739E" w:rsidRPr="005168CF" w:rsidRDefault="00F0739E" w:rsidP="00F20F54">
            <w:pPr>
              <w:pStyle w:val="ListParagraph"/>
              <w:numPr>
                <w:ilvl w:val="0"/>
                <w:numId w:val="12"/>
              </w:numPr>
              <w:spacing w:line="276" w:lineRule="auto"/>
              <w:ind w:left="348"/>
              <w:jc w:val="both"/>
              <w:rPr>
                <w:rFonts w:ascii="Arial" w:hAnsi="Arial" w:cs="Arial"/>
                <w:lang w:val="en-US"/>
              </w:rPr>
            </w:pPr>
            <w:r w:rsidRPr="005168CF">
              <w:rPr>
                <w:rFonts w:ascii="Arial" w:hAnsi="Arial" w:cs="Arial"/>
                <w:lang w:val="en-US"/>
              </w:rPr>
              <w:t>Short-term investment perspective</w:t>
            </w:r>
          </w:p>
          <w:p w14:paraId="2B3FB0F2" w14:textId="77777777" w:rsidR="00F0739E" w:rsidRPr="005168CF" w:rsidRDefault="00F0739E" w:rsidP="00F20F54">
            <w:pPr>
              <w:pStyle w:val="ListParagraph"/>
              <w:numPr>
                <w:ilvl w:val="0"/>
                <w:numId w:val="12"/>
              </w:numPr>
              <w:spacing w:line="276" w:lineRule="auto"/>
              <w:ind w:left="348"/>
              <w:jc w:val="both"/>
              <w:rPr>
                <w:rFonts w:ascii="Arial" w:hAnsi="Arial" w:cs="Arial"/>
                <w:lang w:val="en-US"/>
              </w:rPr>
            </w:pPr>
            <w:r w:rsidRPr="005168CF">
              <w:rPr>
                <w:rFonts w:ascii="Arial" w:hAnsi="Arial" w:cs="Arial"/>
                <w:lang w:val="en-US"/>
              </w:rPr>
              <w:t>Rely on technical analysis</w:t>
            </w:r>
          </w:p>
        </w:tc>
      </w:tr>
      <w:tr w:rsidR="00F0739E" w:rsidRPr="005168CF" w14:paraId="5F0842F2" w14:textId="77777777" w:rsidTr="00F20F54">
        <w:trPr>
          <w:cantSplit/>
          <w:trHeight w:val="957"/>
        </w:trPr>
        <w:tc>
          <w:tcPr>
            <w:tcW w:w="1985" w:type="dxa"/>
          </w:tcPr>
          <w:p w14:paraId="0E469BF0" w14:textId="77777777" w:rsidR="00F0739E" w:rsidRPr="005168CF" w:rsidRDefault="00F0739E" w:rsidP="00F20F54">
            <w:pPr>
              <w:spacing w:line="276" w:lineRule="auto"/>
              <w:jc w:val="both"/>
              <w:rPr>
                <w:rFonts w:ascii="Arial" w:hAnsi="Arial" w:cs="Arial"/>
                <w:i/>
                <w:lang w:val="en-US"/>
              </w:rPr>
            </w:pPr>
            <w:r w:rsidRPr="005168CF">
              <w:rPr>
                <w:rFonts w:ascii="Arial" w:hAnsi="Arial" w:cs="Arial"/>
                <w:i/>
                <w:lang w:val="en-US"/>
              </w:rPr>
              <w:t>Market/ traded index</w:t>
            </w:r>
          </w:p>
        </w:tc>
        <w:tc>
          <w:tcPr>
            <w:tcW w:w="2551" w:type="dxa"/>
          </w:tcPr>
          <w:p w14:paraId="45D8F0D2" w14:textId="77777777" w:rsidR="00F0739E" w:rsidRPr="005168CF" w:rsidRDefault="00F0739E" w:rsidP="00F20F54">
            <w:pPr>
              <w:pStyle w:val="ListParagraph"/>
              <w:numPr>
                <w:ilvl w:val="0"/>
                <w:numId w:val="17"/>
              </w:numPr>
              <w:spacing w:line="276" w:lineRule="auto"/>
              <w:ind w:left="317"/>
              <w:jc w:val="both"/>
              <w:rPr>
                <w:rFonts w:ascii="Arial" w:hAnsi="Arial" w:cs="Arial"/>
                <w:lang w:val="en-US"/>
              </w:rPr>
            </w:pPr>
            <w:r w:rsidRPr="005168CF">
              <w:rPr>
                <w:rFonts w:ascii="Arial" w:hAnsi="Arial" w:cs="Arial"/>
                <w:lang w:val="en-US"/>
              </w:rPr>
              <w:t>SI Investment PR</w:t>
            </w:r>
          </w:p>
        </w:tc>
        <w:tc>
          <w:tcPr>
            <w:tcW w:w="2521" w:type="dxa"/>
          </w:tcPr>
          <w:p w14:paraId="2E9B8FB1" w14:textId="77777777" w:rsidR="00F0739E" w:rsidRPr="005168CF" w:rsidRDefault="00F0739E" w:rsidP="00F20F54">
            <w:pPr>
              <w:pStyle w:val="ListParagraph"/>
              <w:numPr>
                <w:ilvl w:val="0"/>
                <w:numId w:val="17"/>
              </w:numPr>
              <w:spacing w:line="276" w:lineRule="auto"/>
              <w:ind w:left="318"/>
              <w:jc w:val="both"/>
              <w:rPr>
                <w:rFonts w:ascii="Arial" w:hAnsi="Arial" w:cs="Arial"/>
                <w:lang w:val="en-US"/>
              </w:rPr>
            </w:pPr>
            <w:r w:rsidRPr="005168CF">
              <w:rPr>
                <w:rFonts w:ascii="Arial" w:hAnsi="Arial" w:cs="Arial"/>
                <w:lang w:val="en-US"/>
              </w:rPr>
              <w:t>SI Private PR</w:t>
            </w:r>
          </w:p>
        </w:tc>
        <w:tc>
          <w:tcPr>
            <w:tcW w:w="2684" w:type="dxa"/>
          </w:tcPr>
          <w:p w14:paraId="20E44641" w14:textId="77777777" w:rsidR="00F0739E" w:rsidRPr="005168CF" w:rsidRDefault="00F0739E" w:rsidP="00F20F54">
            <w:pPr>
              <w:pStyle w:val="ListParagraph"/>
              <w:numPr>
                <w:ilvl w:val="0"/>
                <w:numId w:val="17"/>
              </w:numPr>
              <w:spacing w:line="276" w:lineRule="auto"/>
              <w:ind w:left="348"/>
              <w:jc w:val="both"/>
              <w:rPr>
                <w:rFonts w:ascii="Arial" w:hAnsi="Arial" w:cs="Arial"/>
                <w:lang w:val="en-US"/>
              </w:rPr>
            </w:pPr>
            <w:r w:rsidRPr="005168CF">
              <w:rPr>
                <w:rFonts w:ascii="Arial" w:hAnsi="Arial" w:cs="Arial"/>
                <w:lang w:val="en-US"/>
              </w:rPr>
              <w:t>SI Investment PR</w:t>
            </w:r>
          </w:p>
          <w:p w14:paraId="7067F3FE" w14:textId="77777777" w:rsidR="00F0739E" w:rsidRPr="005168CF" w:rsidRDefault="00F0739E" w:rsidP="00F20F54">
            <w:pPr>
              <w:pStyle w:val="ListParagraph"/>
              <w:numPr>
                <w:ilvl w:val="0"/>
                <w:numId w:val="17"/>
              </w:numPr>
              <w:spacing w:line="276" w:lineRule="auto"/>
              <w:ind w:left="348"/>
              <w:jc w:val="both"/>
              <w:rPr>
                <w:rFonts w:ascii="Arial" w:hAnsi="Arial" w:cs="Arial"/>
                <w:lang w:val="en-US"/>
              </w:rPr>
            </w:pPr>
            <w:r w:rsidRPr="005168CF">
              <w:rPr>
                <w:rFonts w:ascii="Arial" w:hAnsi="Arial" w:cs="Arial"/>
                <w:lang w:val="en-US"/>
              </w:rPr>
              <w:t>SI Private PR</w:t>
            </w:r>
          </w:p>
        </w:tc>
      </w:tr>
      <w:tr w:rsidR="00F0739E" w:rsidRPr="001E396F" w14:paraId="0E087176" w14:textId="77777777" w:rsidTr="00F20F54">
        <w:trPr>
          <w:cantSplit/>
          <w:trHeight w:val="1134"/>
        </w:trPr>
        <w:tc>
          <w:tcPr>
            <w:tcW w:w="1985" w:type="dxa"/>
          </w:tcPr>
          <w:p w14:paraId="5AFD1880" w14:textId="77777777" w:rsidR="00F0739E" w:rsidRPr="005168CF" w:rsidRDefault="00F0739E" w:rsidP="00F20F54">
            <w:pPr>
              <w:spacing w:line="276" w:lineRule="auto"/>
              <w:jc w:val="both"/>
              <w:rPr>
                <w:rFonts w:ascii="Arial" w:hAnsi="Arial" w:cs="Arial"/>
                <w:i/>
                <w:lang w:val="en-US"/>
              </w:rPr>
            </w:pPr>
            <w:r w:rsidRPr="005168CF">
              <w:rPr>
                <w:rFonts w:ascii="Arial" w:hAnsi="Arial" w:cs="Arial"/>
                <w:i/>
                <w:lang w:val="en-US"/>
              </w:rPr>
              <w:t>Decision inputs</w:t>
            </w:r>
          </w:p>
        </w:tc>
        <w:tc>
          <w:tcPr>
            <w:tcW w:w="2551" w:type="dxa"/>
          </w:tcPr>
          <w:p w14:paraId="3AA1D77E" w14:textId="77777777" w:rsidR="00F0739E" w:rsidRPr="005168CF" w:rsidRDefault="00F0739E" w:rsidP="00F20F54">
            <w:pPr>
              <w:pStyle w:val="ListParagraph"/>
              <w:numPr>
                <w:ilvl w:val="0"/>
                <w:numId w:val="13"/>
              </w:numPr>
              <w:spacing w:line="276" w:lineRule="auto"/>
              <w:ind w:left="319"/>
              <w:jc w:val="both"/>
              <w:rPr>
                <w:rFonts w:ascii="Arial" w:hAnsi="Arial" w:cs="Arial"/>
                <w:lang w:val="en-US"/>
              </w:rPr>
            </w:pPr>
            <w:r w:rsidRPr="005168CF">
              <w:rPr>
                <w:rFonts w:ascii="Arial" w:hAnsi="Arial" w:cs="Arial"/>
                <w:lang w:val="en-US"/>
              </w:rPr>
              <w:t>SI Investment PR</w:t>
            </w:r>
          </w:p>
          <w:p w14:paraId="6DD4D350" w14:textId="77777777" w:rsidR="00F0739E" w:rsidRPr="005168CF" w:rsidRDefault="00F0739E" w:rsidP="00F20F54">
            <w:pPr>
              <w:pStyle w:val="ListParagraph"/>
              <w:numPr>
                <w:ilvl w:val="0"/>
                <w:numId w:val="13"/>
              </w:numPr>
              <w:spacing w:line="276" w:lineRule="auto"/>
              <w:ind w:left="319"/>
              <w:jc w:val="both"/>
              <w:rPr>
                <w:rFonts w:ascii="Arial" w:hAnsi="Arial" w:cs="Arial"/>
                <w:lang w:val="en-US"/>
              </w:rPr>
            </w:pPr>
            <w:r w:rsidRPr="005168CF">
              <w:rPr>
                <w:rFonts w:ascii="Arial" w:hAnsi="Arial" w:cs="Arial"/>
                <w:lang w:val="en-US"/>
              </w:rPr>
              <w:t>Swiss rental price index</w:t>
            </w:r>
          </w:p>
          <w:p w14:paraId="18BB9C66" w14:textId="77777777" w:rsidR="00F0739E" w:rsidRPr="005168CF" w:rsidRDefault="00F0739E" w:rsidP="00F20F54">
            <w:pPr>
              <w:pStyle w:val="ListParagraph"/>
              <w:numPr>
                <w:ilvl w:val="0"/>
                <w:numId w:val="13"/>
              </w:numPr>
              <w:spacing w:line="276" w:lineRule="auto"/>
              <w:ind w:left="319"/>
              <w:jc w:val="both"/>
              <w:rPr>
                <w:rFonts w:ascii="Arial" w:hAnsi="Arial" w:cs="Arial"/>
                <w:lang w:val="en-US"/>
              </w:rPr>
            </w:pPr>
            <w:r w:rsidRPr="005168CF">
              <w:rPr>
                <w:rFonts w:ascii="Arial" w:hAnsi="Arial" w:cs="Arial"/>
                <w:lang w:val="en-US"/>
              </w:rPr>
              <w:t>Swiss Bond Index</w:t>
            </w:r>
          </w:p>
          <w:p w14:paraId="706BC41A" w14:textId="77777777" w:rsidR="00F0739E" w:rsidRPr="005168CF" w:rsidRDefault="00F0739E" w:rsidP="00F20F54">
            <w:pPr>
              <w:pStyle w:val="ListParagraph"/>
              <w:numPr>
                <w:ilvl w:val="0"/>
                <w:numId w:val="13"/>
              </w:numPr>
              <w:spacing w:line="276" w:lineRule="auto"/>
              <w:ind w:left="319"/>
              <w:jc w:val="both"/>
              <w:rPr>
                <w:rFonts w:ascii="Arial" w:hAnsi="Arial" w:cs="Arial"/>
                <w:lang w:val="en-US"/>
              </w:rPr>
            </w:pPr>
            <w:r w:rsidRPr="005168CF">
              <w:rPr>
                <w:rFonts w:ascii="Arial" w:hAnsi="Arial" w:cs="Arial"/>
                <w:lang w:val="en-US"/>
              </w:rPr>
              <w:t>MSCI World Index</w:t>
            </w:r>
          </w:p>
          <w:p w14:paraId="714F0B7C" w14:textId="77777777" w:rsidR="00F0739E" w:rsidRPr="005168CF" w:rsidRDefault="00F0739E" w:rsidP="00F20F54">
            <w:pPr>
              <w:pStyle w:val="ListParagraph"/>
              <w:numPr>
                <w:ilvl w:val="0"/>
                <w:numId w:val="13"/>
              </w:numPr>
              <w:spacing w:line="276" w:lineRule="auto"/>
              <w:ind w:left="319"/>
              <w:jc w:val="both"/>
              <w:rPr>
                <w:rFonts w:ascii="Arial" w:hAnsi="Arial" w:cs="Arial"/>
                <w:lang w:val="en-US"/>
              </w:rPr>
            </w:pPr>
            <w:r w:rsidRPr="005168CF">
              <w:rPr>
                <w:rFonts w:ascii="Arial" w:hAnsi="Arial" w:cs="Arial"/>
                <w:lang w:val="en-US"/>
              </w:rPr>
              <w:t>Swiss population</w:t>
            </w:r>
          </w:p>
        </w:tc>
        <w:tc>
          <w:tcPr>
            <w:tcW w:w="2521" w:type="dxa"/>
          </w:tcPr>
          <w:p w14:paraId="00787F93" w14:textId="77777777" w:rsidR="00F0739E" w:rsidRPr="005168CF" w:rsidRDefault="00F0739E" w:rsidP="00F20F54">
            <w:pPr>
              <w:pStyle w:val="ListParagraph"/>
              <w:numPr>
                <w:ilvl w:val="0"/>
                <w:numId w:val="13"/>
              </w:numPr>
              <w:spacing w:line="276" w:lineRule="auto"/>
              <w:ind w:left="278"/>
              <w:jc w:val="both"/>
              <w:rPr>
                <w:rFonts w:ascii="Arial" w:hAnsi="Arial" w:cs="Arial"/>
                <w:lang w:val="en-US"/>
              </w:rPr>
            </w:pPr>
            <w:r w:rsidRPr="005168CF">
              <w:rPr>
                <w:rFonts w:ascii="Arial" w:hAnsi="Arial" w:cs="Arial"/>
                <w:lang w:val="en-US"/>
              </w:rPr>
              <w:t>SI Private PR</w:t>
            </w:r>
          </w:p>
          <w:p w14:paraId="29C2D0B1" w14:textId="77777777" w:rsidR="00F0739E" w:rsidRPr="005168CF" w:rsidRDefault="00F0739E" w:rsidP="00F20F54">
            <w:pPr>
              <w:pStyle w:val="ListParagraph"/>
              <w:numPr>
                <w:ilvl w:val="0"/>
                <w:numId w:val="13"/>
              </w:numPr>
              <w:spacing w:line="276" w:lineRule="auto"/>
              <w:ind w:left="278"/>
              <w:jc w:val="both"/>
              <w:rPr>
                <w:rFonts w:ascii="Arial" w:hAnsi="Arial" w:cs="Arial"/>
                <w:lang w:val="en-US"/>
              </w:rPr>
            </w:pPr>
            <w:r w:rsidRPr="005168CF">
              <w:rPr>
                <w:rFonts w:ascii="Arial" w:hAnsi="Arial" w:cs="Arial"/>
                <w:lang w:val="en-US"/>
              </w:rPr>
              <w:t>Swiss rental price index</w:t>
            </w:r>
          </w:p>
          <w:p w14:paraId="31CCE92D" w14:textId="77777777" w:rsidR="00F0739E" w:rsidRPr="005168CF" w:rsidRDefault="00F0739E" w:rsidP="00F20F54">
            <w:pPr>
              <w:pStyle w:val="ListParagraph"/>
              <w:numPr>
                <w:ilvl w:val="0"/>
                <w:numId w:val="13"/>
              </w:numPr>
              <w:spacing w:line="276" w:lineRule="auto"/>
              <w:ind w:left="278"/>
              <w:jc w:val="both"/>
              <w:rPr>
                <w:rFonts w:ascii="Arial" w:hAnsi="Arial" w:cs="Arial"/>
                <w:lang w:val="en-US"/>
              </w:rPr>
            </w:pPr>
            <w:r w:rsidRPr="005168CF">
              <w:rPr>
                <w:rFonts w:ascii="Arial" w:hAnsi="Arial" w:cs="Arial"/>
                <w:lang w:val="en-US"/>
              </w:rPr>
              <w:t>Swiss Bond Index</w:t>
            </w:r>
          </w:p>
        </w:tc>
        <w:tc>
          <w:tcPr>
            <w:tcW w:w="2684" w:type="dxa"/>
          </w:tcPr>
          <w:p w14:paraId="1D1A1E48" w14:textId="77777777" w:rsidR="00F0739E" w:rsidRPr="005168CF" w:rsidRDefault="00F0739E" w:rsidP="00F20F54">
            <w:pPr>
              <w:pStyle w:val="ListParagraph"/>
              <w:numPr>
                <w:ilvl w:val="0"/>
                <w:numId w:val="13"/>
              </w:numPr>
              <w:spacing w:line="276" w:lineRule="auto"/>
              <w:ind w:left="348"/>
              <w:jc w:val="both"/>
              <w:rPr>
                <w:rFonts w:ascii="Arial" w:hAnsi="Arial" w:cs="Arial"/>
                <w:lang w:val="fr-CH"/>
              </w:rPr>
            </w:pPr>
            <w:r w:rsidRPr="005168CF">
              <w:rPr>
                <w:rFonts w:ascii="Arial" w:hAnsi="Arial" w:cs="Arial"/>
                <w:lang w:val="fr-CH"/>
              </w:rPr>
              <w:t>SI Investment PR only or SI Private PR only</w:t>
            </w:r>
          </w:p>
        </w:tc>
      </w:tr>
    </w:tbl>
    <w:p w14:paraId="74F567A9" w14:textId="77777777" w:rsidR="00F0739E" w:rsidRPr="005168CF" w:rsidRDefault="00F0739E" w:rsidP="00F0739E">
      <w:pPr>
        <w:spacing w:line="276" w:lineRule="auto"/>
        <w:jc w:val="both"/>
        <w:rPr>
          <w:rFonts w:ascii="Arial" w:hAnsi="Arial" w:cs="Arial"/>
          <w:lang w:val="en-US"/>
        </w:rPr>
      </w:pPr>
      <w:r w:rsidRPr="005168CF">
        <w:rPr>
          <w:rFonts w:ascii="Arial" w:hAnsi="Arial" w:cs="Arial"/>
          <w:lang w:val="en-US"/>
        </w:rPr>
        <w:t>Source: Kostadinov and Ankenbrand (2013a)</w:t>
      </w:r>
    </w:p>
    <w:p w14:paraId="0596B1E6" w14:textId="77777777" w:rsidR="00F0739E" w:rsidRDefault="00F0739E" w:rsidP="00F0739E">
      <w:pPr>
        <w:spacing w:line="276" w:lineRule="auto"/>
        <w:jc w:val="both"/>
        <w:rPr>
          <w:rFonts w:ascii="Arial" w:hAnsi="Arial" w:cs="Arial"/>
          <w:lang w:val="en-US"/>
        </w:rPr>
      </w:pPr>
    </w:p>
    <w:p w14:paraId="525C3F67" w14:textId="77777777" w:rsidR="00F00F8F" w:rsidRDefault="00F0739E" w:rsidP="00F00F8F">
      <w:pPr>
        <w:spacing w:line="276" w:lineRule="auto"/>
        <w:jc w:val="both"/>
        <w:rPr>
          <w:rFonts w:ascii="Arial" w:hAnsi="Arial" w:cs="Arial"/>
          <w:lang w:val="en-US"/>
        </w:rPr>
      </w:pPr>
      <w:r>
        <w:rPr>
          <w:rFonts w:ascii="Arial" w:hAnsi="Arial" w:cs="Arial"/>
          <w:lang w:val="en-US"/>
        </w:rPr>
        <w:t>Instead of using long term interest rates (Swiss Bond Index) it would be interesting to test short term interest rates as an independent varianle (Sutton et al., 2017).</w:t>
      </w:r>
    </w:p>
    <w:p w14:paraId="6E4EA432" w14:textId="77777777" w:rsidR="00F00F8F" w:rsidRDefault="00F00F8F" w:rsidP="00F00F8F">
      <w:pPr>
        <w:spacing w:line="276" w:lineRule="auto"/>
        <w:jc w:val="both"/>
        <w:rPr>
          <w:rFonts w:ascii="Arial" w:hAnsi="Arial" w:cs="Arial"/>
          <w:lang w:val="en-US"/>
        </w:rPr>
      </w:pPr>
    </w:p>
    <w:p w14:paraId="438A2232" w14:textId="37F9340D" w:rsidR="00147162" w:rsidRPr="005168CF" w:rsidRDefault="00147162" w:rsidP="00F00F8F">
      <w:pPr>
        <w:spacing w:line="276" w:lineRule="auto"/>
        <w:jc w:val="both"/>
        <w:rPr>
          <w:rFonts w:ascii="Arial" w:hAnsi="Arial" w:cs="Arial"/>
          <w:lang w:val="en-US"/>
        </w:rPr>
      </w:pPr>
      <w:r w:rsidRPr="00147162">
        <w:rPr>
          <w:rFonts w:ascii="Arial" w:hAnsi="Arial" w:cs="Arial"/>
          <w:lang w:val="en-US"/>
        </w:rPr>
        <w:t>Immobilien Zyklus The Secret….</w:t>
      </w:r>
    </w:p>
    <w:p w14:paraId="7429EA9D" w14:textId="77777777" w:rsidR="00F0739E" w:rsidRPr="001E745C" w:rsidRDefault="00F0739E" w:rsidP="00F00F8F">
      <w:pPr>
        <w:spacing w:line="276" w:lineRule="auto"/>
        <w:jc w:val="both"/>
        <w:rPr>
          <w:rFonts w:ascii="Arial" w:eastAsiaTheme="majorEastAsia" w:hAnsi="Arial" w:cs="Arial"/>
          <w:b/>
          <w:lang w:val="en-US"/>
        </w:rPr>
      </w:pPr>
    </w:p>
    <w:p w14:paraId="68EF5F69" w14:textId="77777777"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sidRPr="001E745C">
        <w:rPr>
          <w:rFonts w:ascii="Arial" w:eastAsiaTheme="majorEastAsia" w:hAnsi="Arial" w:cs="Arial"/>
          <w:b/>
          <w:lang w:val="en-US"/>
        </w:rPr>
        <w:t>Crypto Currencies</w:t>
      </w:r>
    </w:p>
    <w:p w14:paraId="6E755457" w14:textId="77777777" w:rsidR="00AD3816" w:rsidRDefault="00AD3816" w:rsidP="00AD3816">
      <w:pPr>
        <w:pStyle w:val="ListParagraph"/>
        <w:rPr>
          <w:rFonts w:ascii="Arial" w:eastAsiaTheme="majorEastAsia" w:hAnsi="Arial" w:cs="Arial"/>
          <w:b/>
          <w:lang w:val="en-US"/>
        </w:rPr>
      </w:pPr>
    </w:p>
    <w:p w14:paraId="26318C9C" w14:textId="77777777" w:rsidR="00AD3816" w:rsidRDefault="00AD3816" w:rsidP="00AD3816">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Multi market models</w:t>
      </w:r>
    </w:p>
    <w:p w14:paraId="62868BF8" w14:textId="77777777" w:rsidR="00B0106F" w:rsidRDefault="00B0106F" w:rsidP="00272D0A">
      <w:pPr>
        <w:spacing w:line="276" w:lineRule="auto"/>
        <w:jc w:val="both"/>
        <w:rPr>
          <w:rFonts w:ascii="Arial" w:hAnsi="Arial" w:cs="Arial"/>
          <w:lang w:val="en-US"/>
        </w:rPr>
      </w:pPr>
    </w:p>
    <w:p w14:paraId="34728CB8" w14:textId="77777777" w:rsidR="00B0106F" w:rsidRDefault="00B0106F" w:rsidP="00B0106F">
      <w:pPr>
        <w:jc w:val="both"/>
        <w:rPr>
          <w:rFonts w:ascii="Arial" w:hAnsi="Arial" w:cs="Arial"/>
          <w:lang w:val="en-US"/>
        </w:rPr>
      </w:pPr>
      <w:r>
        <w:rPr>
          <w:rFonts w:ascii="Arial" w:hAnsi="Arial" w:cs="Arial"/>
          <w:lang w:val="en-US"/>
        </w:rPr>
        <w:lastRenderedPageBreak/>
        <w:t>The performance of the followings models are compared:</w:t>
      </w:r>
    </w:p>
    <w:p w14:paraId="298D4251" w14:textId="77777777" w:rsidR="00B0106F" w:rsidRDefault="00B0106F" w:rsidP="00B0106F">
      <w:pPr>
        <w:jc w:val="both"/>
        <w:rPr>
          <w:rFonts w:ascii="Arial" w:hAnsi="Arial" w:cs="Arial"/>
          <w:lang w:val="en-US"/>
        </w:rPr>
      </w:pPr>
    </w:p>
    <w:p w14:paraId="500A649F" w14:textId="10ADCABA" w:rsidR="001F1FBD" w:rsidRDefault="0009779D" w:rsidP="00B0106F">
      <w:pPr>
        <w:pStyle w:val="ListParagraph"/>
        <w:numPr>
          <w:ilvl w:val="0"/>
          <w:numId w:val="32"/>
        </w:numPr>
        <w:jc w:val="both"/>
        <w:rPr>
          <w:rFonts w:ascii="Arial" w:hAnsi="Arial" w:cs="Arial"/>
          <w:lang w:val="de-CH"/>
        </w:rPr>
      </w:pPr>
      <w:r>
        <w:rPr>
          <w:rFonts w:ascii="Arial" w:hAnsi="Arial" w:cs="Arial"/>
          <w:lang w:val="de-CH"/>
        </w:rPr>
        <w:t xml:space="preserve">Static </w:t>
      </w:r>
      <w:r w:rsidR="001F1FBD">
        <w:rPr>
          <w:rFonts w:ascii="Arial" w:hAnsi="Arial" w:cs="Arial"/>
          <w:lang w:val="de-CH"/>
        </w:rPr>
        <w:t>ABM model (Ankenbrand, 1997</w:t>
      </w:r>
      <w:r>
        <w:rPr>
          <w:rFonts w:ascii="Arial" w:hAnsi="Arial" w:cs="Arial"/>
          <w:lang w:val="de-CH"/>
        </w:rPr>
        <w:t>; Ankenbrand, 1998, 91ff</w:t>
      </w:r>
      <w:r w:rsidR="001F1FBD">
        <w:rPr>
          <w:rFonts w:ascii="Arial" w:hAnsi="Arial" w:cs="Arial"/>
          <w:lang w:val="de-CH"/>
        </w:rPr>
        <w:t>)</w:t>
      </w:r>
    </w:p>
    <w:p w14:paraId="06E38C35" w14:textId="19DAAE8E" w:rsidR="00B0106F" w:rsidRDefault="0009779D" w:rsidP="00B0106F">
      <w:pPr>
        <w:pStyle w:val="ListParagraph"/>
        <w:numPr>
          <w:ilvl w:val="0"/>
          <w:numId w:val="32"/>
        </w:numPr>
        <w:jc w:val="both"/>
        <w:rPr>
          <w:rFonts w:ascii="Arial" w:hAnsi="Arial" w:cs="Arial"/>
          <w:lang w:val="de-CH"/>
        </w:rPr>
      </w:pPr>
      <w:r>
        <w:rPr>
          <w:rFonts w:ascii="Arial" w:hAnsi="Arial" w:cs="Arial"/>
          <w:lang w:val="de-CH"/>
        </w:rPr>
        <w:t xml:space="preserve">Dynamic </w:t>
      </w:r>
      <w:r w:rsidR="00B0106F" w:rsidRPr="007C0E15">
        <w:rPr>
          <w:rFonts w:ascii="Arial" w:hAnsi="Arial" w:cs="Arial"/>
          <w:lang w:val="de-CH"/>
        </w:rPr>
        <w:t>ABM model (Ankenbrand, 1998, 91ff)</w:t>
      </w:r>
    </w:p>
    <w:p w14:paraId="5EB48434" w14:textId="64AB2225" w:rsidR="00B0106F" w:rsidRDefault="0009779D" w:rsidP="00B0106F">
      <w:pPr>
        <w:pStyle w:val="ListParagraph"/>
        <w:numPr>
          <w:ilvl w:val="0"/>
          <w:numId w:val="32"/>
        </w:numPr>
        <w:jc w:val="both"/>
        <w:rPr>
          <w:rFonts w:ascii="Arial" w:hAnsi="Arial" w:cs="Arial"/>
          <w:lang w:val="de-CH"/>
        </w:rPr>
      </w:pPr>
      <w:r>
        <w:rPr>
          <w:rFonts w:ascii="Arial" w:hAnsi="Arial" w:cs="Arial"/>
          <w:lang w:val="de-CH"/>
        </w:rPr>
        <w:t xml:space="preserve">Complex </w:t>
      </w:r>
      <w:r w:rsidR="00B0106F">
        <w:rPr>
          <w:rFonts w:ascii="Arial" w:hAnsi="Arial" w:cs="Arial"/>
          <w:lang w:val="de-CH"/>
        </w:rPr>
        <w:t>ABM model (</w:t>
      </w:r>
      <w:r>
        <w:rPr>
          <w:rFonts w:ascii="Arial" w:hAnsi="Arial" w:cs="Arial"/>
          <w:lang w:val="de-CH"/>
        </w:rPr>
        <w:t xml:space="preserve">Ankenbrand, 1998, 91ff; </w:t>
      </w:r>
      <w:r w:rsidR="00B0106F">
        <w:rPr>
          <w:rFonts w:ascii="Arial" w:hAnsi="Arial" w:cs="Arial"/>
          <w:lang w:val="de-CH"/>
        </w:rPr>
        <w:t>Ankenbrand, 1999)</w:t>
      </w:r>
    </w:p>
    <w:p w14:paraId="1B861228" w14:textId="77777777" w:rsidR="00272D0A" w:rsidRDefault="00B0106F" w:rsidP="00BD4E9B">
      <w:pPr>
        <w:pStyle w:val="ListParagraph"/>
        <w:numPr>
          <w:ilvl w:val="0"/>
          <w:numId w:val="32"/>
        </w:numPr>
        <w:jc w:val="both"/>
        <w:rPr>
          <w:rFonts w:ascii="Arial" w:hAnsi="Arial" w:cs="Arial"/>
          <w:lang w:val="en-US"/>
        </w:rPr>
      </w:pPr>
      <w:r w:rsidRPr="00272D0A">
        <w:rPr>
          <w:rFonts w:ascii="Arial" w:hAnsi="Arial" w:cs="Arial"/>
          <w:lang w:val="en-US"/>
        </w:rPr>
        <w:t>AVACO Global Macro (unpublished)</w:t>
      </w:r>
    </w:p>
    <w:p w14:paraId="40FF3A4A" w14:textId="77777777" w:rsidR="00272D0A" w:rsidRDefault="00272D0A" w:rsidP="00272D0A">
      <w:pPr>
        <w:pStyle w:val="ListParagraph"/>
        <w:jc w:val="both"/>
        <w:rPr>
          <w:rFonts w:ascii="Arial" w:hAnsi="Arial" w:cs="Arial"/>
          <w:lang w:val="en-US"/>
        </w:rPr>
      </w:pPr>
    </w:p>
    <w:p w14:paraId="31AAD765" w14:textId="017357E2" w:rsidR="00BD4E9B" w:rsidRPr="00272D0A" w:rsidRDefault="00BD4E9B" w:rsidP="00BD4E9B">
      <w:pPr>
        <w:pStyle w:val="ListParagraph"/>
        <w:numPr>
          <w:ilvl w:val="0"/>
          <w:numId w:val="32"/>
        </w:numPr>
        <w:jc w:val="both"/>
        <w:rPr>
          <w:rFonts w:ascii="Arial" w:hAnsi="Arial" w:cs="Arial"/>
          <w:lang w:val="en-US"/>
        </w:rPr>
      </w:pPr>
      <w:r w:rsidRPr="00272D0A">
        <w:rPr>
          <w:rFonts w:ascii="Arial" w:hAnsi="Arial" w:cs="Arial"/>
          <w:lang w:val="en-US"/>
        </w:rPr>
        <w:t>An Information theoretic approach weekly data YENUSD (Ankenbrand, 1999)</w:t>
      </w:r>
    </w:p>
    <w:p w14:paraId="6613EBC4" w14:textId="77777777" w:rsidR="00AD3816" w:rsidRPr="00272D0A" w:rsidRDefault="00AD3816" w:rsidP="00272D0A">
      <w:pPr>
        <w:spacing w:line="276" w:lineRule="auto"/>
        <w:jc w:val="both"/>
        <w:rPr>
          <w:rFonts w:ascii="Arial" w:hAnsi="Arial" w:cs="Arial"/>
          <w:lang w:val="en-US"/>
        </w:rPr>
      </w:pPr>
    </w:p>
    <w:p w14:paraId="457D4A46" w14:textId="77777777" w:rsidR="00DE219C" w:rsidRPr="00870C2E" w:rsidRDefault="00DE219C" w:rsidP="00DE219C">
      <w:pPr>
        <w:spacing w:line="276" w:lineRule="auto"/>
        <w:ind w:left="284" w:hanging="284"/>
        <w:rPr>
          <w:rFonts w:ascii="Arial" w:hAnsi="Arial" w:cs="Arial"/>
          <w:lang w:val="en-US"/>
        </w:rPr>
      </w:pPr>
      <w:r w:rsidRPr="00DE219C">
        <w:rPr>
          <w:rFonts w:ascii="Arial" w:hAnsi="Arial" w:cs="Arial"/>
          <w:lang w:val="en-US"/>
        </w:rPr>
        <w:t>Ankenbrand, T. &amp; Klan, P. (1999). Application of information in financial markets prediction. Barcelona: FMA European Conference.</w:t>
      </w:r>
    </w:p>
    <w:p w14:paraId="1F40A054" w14:textId="77777777" w:rsidR="00DC6D00" w:rsidRPr="00BD4E9B" w:rsidRDefault="00DC6D00" w:rsidP="00625536">
      <w:pPr>
        <w:jc w:val="both"/>
        <w:rPr>
          <w:rFonts w:ascii="Arial" w:eastAsiaTheme="majorEastAsia" w:hAnsi="Arial" w:cs="Arial"/>
          <w:b/>
          <w:color w:val="000000" w:themeColor="text1"/>
          <w:sz w:val="28"/>
          <w:szCs w:val="28"/>
          <w:lang w:val="en-US"/>
        </w:rPr>
      </w:pPr>
      <w:r w:rsidRPr="00BD4E9B">
        <w:rPr>
          <w:rFonts w:ascii="Arial" w:hAnsi="Arial" w:cs="Arial"/>
          <w:bCs/>
          <w:color w:val="000000" w:themeColor="text1"/>
          <w:sz w:val="28"/>
          <w:szCs w:val="28"/>
          <w:lang w:val="en-US"/>
        </w:rPr>
        <w:br w:type="page"/>
      </w:r>
    </w:p>
    <w:p w14:paraId="05C293E6" w14:textId="0D73843D" w:rsidR="00523D0E" w:rsidRPr="005168CF" w:rsidRDefault="0094082D" w:rsidP="00625536">
      <w:pPr>
        <w:pStyle w:val="Heading1"/>
        <w:numPr>
          <w:ilvl w:val="0"/>
          <w:numId w:val="19"/>
        </w:numPr>
        <w:spacing w:line="276" w:lineRule="auto"/>
        <w:jc w:val="both"/>
        <w:rPr>
          <w:rFonts w:ascii="Arial" w:hAnsi="Arial" w:cs="Arial"/>
          <w:bCs w:val="0"/>
          <w:color w:val="000000" w:themeColor="text1"/>
          <w:sz w:val="28"/>
          <w:szCs w:val="28"/>
          <w:lang w:val="en-US"/>
        </w:rPr>
      </w:pPr>
      <w:r>
        <w:rPr>
          <w:rFonts w:ascii="Arial" w:hAnsi="Arial" w:cs="Arial"/>
          <w:bCs w:val="0"/>
          <w:color w:val="000000" w:themeColor="text1"/>
          <w:sz w:val="28"/>
          <w:szCs w:val="28"/>
          <w:lang w:val="en-US"/>
        </w:rPr>
        <w:lastRenderedPageBreak/>
        <w:t>R</w:t>
      </w:r>
      <w:r w:rsidR="00F160DA">
        <w:rPr>
          <w:rFonts w:ascii="Arial" w:hAnsi="Arial" w:cs="Arial"/>
          <w:bCs w:val="0"/>
          <w:color w:val="000000" w:themeColor="text1"/>
          <w:sz w:val="28"/>
          <w:szCs w:val="28"/>
          <w:lang w:val="en-US"/>
        </w:rPr>
        <w:t>esults</w:t>
      </w:r>
    </w:p>
    <w:p w14:paraId="6C1B349F" w14:textId="77777777" w:rsidR="009C24D0" w:rsidRPr="005168CF" w:rsidRDefault="009C24D0" w:rsidP="00625536">
      <w:pPr>
        <w:jc w:val="both"/>
        <w:rPr>
          <w:rFonts w:ascii="Arial" w:hAnsi="Arial" w:cs="Arial"/>
          <w:lang w:val="en-US"/>
        </w:rPr>
      </w:pPr>
    </w:p>
    <w:p w14:paraId="582A601F" w14:textId="77777777" w:rsidR="0094082D" w:rsidRPr="00056A44" w:rsidRDefault="0094082D" w:rsidP="00056A44">
      <w:pPr>
        <w:jc w:val="both"/>
        <w:rPr>
          <w:rFonts w:ascii="Arial" w:hAnsi="Arial" w:cs="Arial"/>
          <w:i/>
          <w:lang w:val="en-US"/>
        </w:rPr>
      </w:pPr>
      <w:r w:rsidRPr="00056A44">
        <w:rPr>
          <w:rFonts w:ascii="Arial" w:hAnsi="Arial" w:cs="Arial"/>
          <w:i/>
          <w:lang w:val="en-US"/>
        </w:rPr>
        <w:t>Logic of research design</w:t>
      </w:r>
    </w:p>
    <w:p w14:paraId="6CB66924" w14:textId="77777777" w:rsidR="0094082D" w:rsidRPr="00056A44" w:rsidRDefault="0094082D" w:rsidP="00056A44">
      <w:pPr>
        <w:jc w:val="both"/>
        <w:rPr>
          <w:rFonts w:ascii="Arial" w:hAnsi="Arial" w:cs="Arial"/>
          <w:i/>
          <w:lang w:val="en-US"/>
        </w:rPr>
      </w:pPr>
      <w:r w:rsidRPr="00056A44">
        <w:rPr>
          <w:rFonts w:ascii="Arial" w:hAnsi="Arial" w:cs="Arial"/>
          <w:i/>
          <w:lang w:val="en-US"/>
        </w:rPr>
        <w:t>Description of measurement and/or observation procedures</w:t>
      </w:r>
    </w:p>
    <w:p w14:paraId="2CEC68CA" w14:textId="77777777" w:rsidR="0094082D" w:rsidRPr="00056A44" w:rsidRDefault="0094082D" w:rsidP="00056A44">
      <w:pPr>
        <w:jc w:val="both"/>
        <w:rPr>
          <w:rFonts w:ascii="Arial" w:hAnsi="Arial" w:cs="Arial"/>
          <w:i/>
          <w:lang w:val="en-US"/>
        </w:rPr>
      </w:pPr>
      <w:r w:rsidRPr="00056A44">
        <w:rPr>
          <w:rFonts w:ascii="Arial" w:hAnsi="Arial" w:cs="Arial"/>
          <w:i/>
          <w:lang w:val="en-US"/>
        </w:rPr>
        <w:t>Validity and reliability tests</w:t>
      </w:r>
    </w:p>
    <w:p w14:paraId="44696247" w14:textId="1500AC95" w:rsidR="0094082D" w:rsidRPr="00056A44" w:rsidRDefault="0094082D" w:rsidP="00056A44">
      <w:pPr>
        <w:jc w:val="both"/>
        <w:rPr>
          <w:rFonts w:ascii="Arial" w:hAnsi="Arial" w:cs="Arial"/>
          <w:i/>
          <w:lang w:val="en-US"/>
        </w:rPr>
      </w:pPr>
      <w:r w:rsidRPr="00056A44">
        <w:rPr>
          <w:rFonts w:ascii="Arial" w:hAnsi="Arial" w:cs="Arial"/>
          <w:i/>
          <w:lang w:val="en-US"/>
        </w:rPr>
        <w:t>Analytical procedures</w:t>
      </w:r>
    </w:p>
    <w:p w14:paraId="666C64FD" w14:textId="77777777" w:rsidR="00F160DA" w:rsidRPr="00056A44" w:rsidRDefault="00F160DA" w:rsidP="00056A44">
      <w:pPr>
        <w:jc w:val="both"/>
        <w:rPr>
          <w:rFonts w:ascii="Arial" w:hAnsi="Arial" w:cs="Arial"/>
          <w:i/>
          <w:lang w:val="en-US"/>
        </w:rPr>
      </w:pPr>
      <w:r w:rsidRPr="00056A44">
        <w:rPr>
          <w:rFonts w:ascii="Arial" w:hAnsi="Arial" w:cs="Arial"/>
          <w:i/>
          <w:lang w:val="en-US"/>
        </w:rPr>
        <w:t>Description of the data – context, units of analysis, site, sample, appropriateness</w:t>
      </w:r>
    </w:p>
    <w:p w14:paraId="6ABEB9D6" w14:textId="3B6E4F31" w:rsidR="009C24D0" w:rsidRPr="00056A44" w:rsidRDefault="009C24D0" w:rsidP="00056A44">
      <w:pPr>
        <w:jc w:val="both"/>
        <w:rPr>
          <w:rFonts w:ascii="Arial" w:hAnsi="Arial" w:cs="Arial"/>
          <w:i/>
          <w:lang w:val="en-US"/>
        </w:rPr>
      </w:pPr>
      <w:r w:rsidRPr="00056A44">
        <w:rPr>
          <w:rFonts w:ascii="Arial" w:hAnsi="Arial" w:cs="Arial"/>
          <w:i/>
          <w:lang w:val="en-US"/>
        </w:rPr>
        <w:t>Descriptive</w:t>
      </w:r>
    </w:p>
    <w:p w14:paraId="6ACFA809" w14:textId="708B0017" w:rsidR="009C24D0" w:rsidRPr="00056A44" w:rsidRDefault="009C24D0" w:rsidP="00056A44">
      <w:pPr>
        <w:jc w:val="both"/>
        <w:rPr>
          <w:rFonts w:ascii="Arial" w:hAnsi="Arial" w:cs="Arial"/>
          <w:i/>
          <w:lang w:val="en-US"/>
        </w:rPr>
      </w:pPr>
      <w:r w:rsidRPr="00056A44">
        <w:rPr>
          <w:rFonts w:ascii="Arial" w:hAnsi="Arial" w:cs="Arial"/>
          <w:i/>
          <w:lang w:val="en-US"/>
        </w:rPr>
        <w:t>Statistical or qualitative patterns</w:t>
      </w:r>
    </w:p>
    <w:p w14:paraId="04489BBB" w14:textId="13ED8704" w:rsidR="009C24D0" w:rsidRPr="00056A44" w:rsidRDefault="009C24D0" w:rsidP="00056A44">
      <w:pPr>
        <w:jc w:val="both"/>
        <w:rPr>
          <w:rFonts w:ascii="Arial" w:hAnsi="Arial" w:cs="Arial"/>
          <w:i/>
          <w:lang w:val="en-US"/>
        </w:rPr>
      </w:pPr>
      <w:r w:rsidRPr="00056A44">
        <w:rPr>
          <w:rFonts w:ascii="Arial" w:hAnsi="Arial" w:cs="Arial"/>
          <w:i/>
          <w:lang w:val="en-US"/>
        </w:rPr>
        <w:t>Inferences and implications</w:t>
      </w:r>
    </w:p>
    <w:p w14:paraId="31CCE174" w14:textId="77777777" w:rsidR="005527D5" w:rsidRDefault="005527D5" w:rsidP="005527D5">
      <w:pPr>
        <w:jc w:val="both"/>
        <w:rPr>
          <w:rFonts w:ascii="Arial" w:hAnsi="Arial" w:cs="Arial"/>
          <w:i/>
          <w:lang w:val="en-US"/>
        </w:rPr>
      </w:pPr>
    </w:p>
    <w:p w14:paraId="6FAC2961" w14:textId="58571CF6" w:rsidR="00AA00E9" w:rsidRDefault="00AA00E9"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Oil</w:t>
      </w:r>
    </w:p>
    <w:p w14:paraId="65428C48" w14:textId="3915A448" w:rsidR="00AA00E9" w:rsidRPr="00815FCE" w:rsidRDefault="00AA00E9" w:rsidP="00815FCE">
      <w:pPr>
        <w:jc w:val="both"/>
        <w:rPr>
          <w:rFonts w:ascii="Arial" w:hAnsi="Arial" w:cs="Arial"/>
          <w:lang w:val="en-US"/>
        </w:rPr>
      </w:pPr>
    </w:p>
    <w:p w14:paraId="0BC33468" w14:textId="3ABC4F7F"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SPI</w:t>
      </w:r>
    </w:p>
    <w:p w14:paraId="2C087CCC" w14:textId="77777777" w:rsidR="005527D5" w:rsidRDefault="005527D5" w:rsidP="005527D5">
      <w:pPr>
        <w:rPr>
          <w:rFonts w:ascii="Arial" w:hAnsi="Arial" w:cs="Arial"/>
          <w:lang w:val="en-US"/>
        </w:rPr>
      </w:pPr>
    </w:p>
    <w:p w14:paraId="1C47047C" w14:textId="66236148" w:rsidR="00294772" w:rsidRDefault="00294772" w:rsidP="005527D5">
      <w:pPr>
        <w:rPr>
          <w:rFonts w:ascii="Arial" w:hAnsi="Arial" w:cs="Arial"/>
          <w:lang w:val="en-US"/>
        </w:rPr>
      </w:pPr>
      <w:r w:rsidRPr="00294772">
        <w:rPr>
          <w:rFonts w:ascii="Arial" w:hAnsi="Arial" w:cs="Arial"/>
          <w:highlight w:val="yellow"/>
          <w:lang w:val="en-US"/>
        </w:rPr>
        <w:t>Results, but to verify in AVACO SPI V0.xlsm</w:t>
      </w:r>
    </w:p>
    <w:p w14:paraId="7442D26C" w14:textId="77777777" w:rsidR="00AA2257" w:rsidRDefault="00AA2257" w:rsidP="005527D5">
      <w:pPr>
        <w:rPr>
          <w:rFonts w:ascii="Arial" w:hAnsi="Arial" w:cs="Arial"/>
          <w:lang w:val="en-US"/>
        </w:rPr>
      </w:pPr>
    </w:p>
    <w:p w14:paraId="428F5E76" w14:textId="1F6B4105" w:rsidR="00AA2257" w:rsidRDefault="00AA2257" w:rsidP="00D52E89">
      <w:pPr>
        <w:jc w:val="both"/>
        <w:rPr>
          <w:rFonts w:ascii="Arial" w:hAnsi="Arial" w:cs="Arial"/>
          <w:lang w:val="en-US"/>
        </w:rPr>
      </w:pPr>
      <w:r>
        <w:rPr>
          <w:rFonts w:ascii="Arial" w:hAnsi="Arial" w:cs="Arial"/>
          <w:lang w:val="en-US"/>
        </w:rPr>
        <w:t xml:space="preserve">Lansing and Tubbs (2018) describe a multiplicative combination of sentiment and momentum to </w:t>
      </w:r>
      <w:r w:rsidR="00D52E89">
        <w:rPr>
          <w:rFonts w:ascii="Arial" w:hAnsi="Arial" w:cs="Arial"/>
          <w:lang w:val="en-US"/>
        </w:rPr>
        <w:t xml:space="preserve">predict the return on the Standard &amp; Poor’s 500 stock index over the next month. </w:t>
      </w:r>
      <w:r w:rsidR="00D52E89" w:rsidRPr="00D52E89">
        <w:rPr>
          <w:rFonts w:ascii="Arial" w:hAnsi="Arial" w:cs="Arial"/>
          <w:highlight w:val="yellow"/>
          <w:lang w:val="en-US"/>
        </w:rPr>
        <w:t>SPI has to be tested.</w:t>
      </w:r>
    </w:p>
    <w:p w14:paraId="5ABE3E31" w14:textId="77777777" w:rsidR="005527D5" w:rsidRPr="006F2710" w:rsidRDefault="005527D5" w:rsidP="006F2710">
      <w:pPr>
        <w:jc w:val="both"/>
        <w:rPr>
          <w:rFonts w:ascii="Arial" w:hAnsi="Arial" w:cs="Arial"/>
          <w:lang w:val="en-US"/>
        </w:rPr>
      </w:pPr>
    </w:p>
    <w:p w14:paraId="4F64B16C" w14:textId="77777777" w:rsidR="005527D5" w:rsidRDefault="005527D5" w:rsidP="005527D5">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Swiss Bond Market</w:t>
      </w:r>
    </w:p>
    <w:p w14:paraId="57366CF6" w14:textId="77777777" w:rsidR="005527D5" w:rsidRDefault="005527D5" w:rsidP="005527D5">
      <w:pPr>
        <w:jc w:val="both"/>
        <w:rPr>
          <w:rFonts w:ascii="Arial" w:hAnsi="Arial" w:cs="Arial"/>
          <w:lang w:val="en-US"/>
        </w:rPr>
      </w:pPr>
    </w:p>
    <w:p w14:paraId="658C5466" w14:textId="77777777" w:rsidR="005527D5" w:rsidRDefault="005527D5" w:rsidP="005527D5">
      <w:pPr>
        <w:jc w:val="both"/>
        <w:rPr>
          <w:rFonts w:ascii="Arial" w:hAnsi="Arial" w:cs="Arial"/>
          <w:lang w:val="en-US"/>
        </w:rPr>
      </w:pPr>
      <w:r>
        <w:rPr>
          <w:rFonts w:ascii="Arial" w:hAnsi="Arial" w:cs="Arial"/>
          <w:lang w:val="en-US"/>
        </w:rPr>
        <w:t>Based on Ankenbrand (1998) the following agents are in addition to the buy and hold tested: Bond CH, 3 M CHF, Bond US, DAX, Spread CH, Spread USD. The actual model is buy and hold agent and a trend follower.</w:t>
      </w:r>
    </w:p>
    <w:p w14:paraId="538EB461" w14:textId="77777777" w:rsidR="005527D5" w:rsidRDefault="005527D5" w:rsidP="005527D5">
      <w:pPr>
        <w:jc w:val="both"/>
        <w:rPr>
          <w:rFonts w:ascii="Arial" w:hAnsi="Arial" w:cs="Arial"/>
          <w:lang w:val="en-US"/>
        </w:rPr>
      </w:pPr>
    </w:p>
    <w:p w14:paraId="24AAD996" w14:textId="77777777" w:rsidR="005527D5" w:rsidRDefault="005527D5" w:rsidP="005527D5">
      <w:pPr>
        <w:jc w:val="both"/>
        <w:rPr>
          <w:rFonts w:ascii="Arial" w:hAnsi="Arial" w:cs="Arial"/>
          <w:lang w:val="en-US"/>
        </w:rPr>
      </w:pPr>
      <w:r>
        <w:rPr>
          <w:rFonts w:ascii="Arial" w:hAnsi="Arial" w:cs="Arial"/>
          <w:lang w:val="en-US"/>
        </w:rPr>
        <w:t>The volume of the Swiss Bond market is CHF 500 Mio.. Investors are</w:t>
      </w:r>
    </w:p>
    <w:p w14:paraId="496A1BFE" w14:textId="77777777" w:rsidR="005527D5" w:rsidRDefault="005527D5" w:rsidP="005527D5">
      <w:pPr>
        <w:jc w:val="both"/>
        <w:rPr>
          <w:rFonts w:ascii="Arial" w:hAnsi="Arial" w:cs="Arial"/>
          <w:lang w:val="en-US"/>
        </w:rPr>
      </w:pPr>
    </w:p>
    <w:p w14:paraId="06C0CA93" w14:textId="77777777" w:rsidR="005527D5" w:rsidRDefault="005527D5" w:rsidP="005527D5">
      <w:pPr>
        <w:pStyle w:val="ListParagraph"/>
        <w:numPr>
          <w:ilvl w:val="0"/>
          <w:numId w:val="32"/>
        </w:numPr>
        <w:jc w:val="both"/>
        <w:rPr>
          <w:rFonts w:ascii="Arial" w:hAnsi="Arial" w:cs="Arial"/>
          <w:lang w:val="en-US"/>
        </w:rPr>
      </w:pPr>
      <w:r>
        <w:rPr>
          <w:rFonts w:ascii="Arial" w:hAnsi="Arial" w:cs="Arial"/>
          <w:lang w:val="en-US"/>
        </w:rPr>
        <w:t>Banks</w:t>
      </w:r>
    </w:p>
    <w:p w14:paraId="2D282113" w14:textId="77777777" w:rsidR="005527D5" w:rsidRDefault="005527D5" w:rsidP="005527D5">
      <w:pPr>
        <w:pStyle w:val="ListParagraph"/>
        <w:numPr>
          <w:ilvl w:val="0"/>
          <w:numId w:val="32"/>
        </w:numPr>
        <w:jc w:val="both"/>
        <w:rPr>
          <w:rFonts w:ascii="Arial" w:hAnsi="Arial" w:cs="Arial"/>
          <w:lang w:val="en-US"/>
        </w:rPr>
      </w:pPr>
      <w:r>
        <w:rPr>
          <w:rFonts w:ascii="Arial" w:hAnsi="Arial" w:cs="Arial"/>
          <w:lang w:val="en-US"/>
        </w:rPr>
        <w:t>Insurance companies</w:t>
      </w:r>
    </w:p>
    <w:p w14:paraId="7789AE2A" w14:textId="77777777" w:rsidR="005527D5" w:rsidRDefault="005527D5" w:rsidP="005527D5">
      <w:pPr>
        <w:pStyle w:val="ListParagraph"/>
        <w:numPr>
          <w:ilvl w:val="0"/>
          <w:numId w:val="32"/>
        </w:numPr>
        <w:jc w:val="both"/>
        <w:rPr>
          <w:rFonts w:ascii="Arial" w:hAnsi="Arial" w:cs="Arial"/>
          <w:lang w:val="en-US"/>
        </w:rPr>
      </w:pPr>
      <w:r>
        <w:rPr>
          <w:rFonts w:ascii="Arial" w:hAnsi="Arial" w:cs="Arial"/>
          <w:lang w:val="en-US"/>
        </w:rPr>
        <w:t>Pension companies</w:t>
      </w:r>
    </w:p>
    <w:p w14:paraId="77EB8068" w14:textId="77777777" w:rsidR="005527D5" w:rsidRDefault="005527D5" w:rsidP="005527D5">
      <w:pPr>
        <w:pStyle w:val="ListParagraph"/>
        <w:numPr>
          <w:ilvl w:val="0"/>
          <w:numId w:val="32"/>
        </w:numPr>
        <w:jc w:val="both"/>
        <w:rPr>
          <w:rFonts w:ascii="Arial" w:hAnsi="Arial" w:cs="Arial"/>
          <w:lang w:val="en-US"/>
        </w:rPr>
      </w:pPr>
      <w:r>
        <w:rPr>
          <w:rFonts w:ascii="Arial" w:hAnsi="Arial" w:cs="Arial"/>
          <w:lang w:val="en-US"/>
        </w:rPr>
        <w:t>Fonds</w:t>
      </w:r>
    </w:p>
    <w:p w14:paraId="20AA1F6D" w14:textId="77777777" w:rsidR="005527D5" w:rsidRDefault="005527D5" w:rsidP="005527D5">
      <w:pPr>
        <w:pStyle w:val="ListParagraph"/>
        <w:numPr>
          <w:ilvl w:val="0"/>
          <w:numId w:val="32"/>
        </w:numPr>
        <w:jc w:val="both"/>
        <w:rPr>
          <w:rFonts w:ascii="Arial" w:hAnsi="Arial" w:cs="Arial"/>
          <w:lang w:val="en-US"/>
        </w:rPr>
      </w:pPr>
      <w:r>
        <w:rPr>
          <w:rFonts w:ascii="Arial" w:hAnsi="Arial" w:cs="Arial"/>
          <w:lang w:val="en-US"/>
        </w:rPr>
        <w:t>Retail</w:t>
      </w:r>
    </w:p>
    <w:p w14:paraId="39846600" w14:textId="77777777" w:rsidR="005527D5" w:rsidRDefault="005527D5" w:rsidP="005527D5">
      <w:pPr>
        <w:jc w:val="both"/>
        <w:rPr>
          <w:rFonts w:ascii="Arial" w:hAnsi="Arial" w:cs="Arial"/>
          <w:lang w:val="en-US"/>
        </w:rPr>
      </w:pPr>
    </w:p>
    <w:p w14:paraId="2749D9D4" w14:textId="77777777" w:rsidR="005527D5" w:rsidRPr="002D272B" w:rsidRDefault="005527D5" w:rsidP="005527D5">
      <w:pPr>
        <w:jc w:val="both"/>
        <w:rPr>
          <w:rFonts w:ascii="Arial" w:hAnsi="Arial" w:cs="Arial"/>
          <w:lang w:val="en-US"/>
        </w:rPr>
      </w:pPr>
      <w:r>
        <w:rPr>
          <w:rFonts w:ascii="Arial" w:hAnsi="Arial" w:cs="Arial"/>
          <w:lang w:val="en-US"/>
        </w:rPr>
        <w:t>Swiss Bonds has often a safe haven function in uncertain times (Nitschka, 2014).</w:t>
      </w:r>
    </w:p>
    <w:p w14:paraId="64F74AFB" w14:textId="77777777" w:rsidR="005527D5" w:rsidRPr="001E745C" w:rsidRDefault="005527D5" w:rsidP="006F2710">
      <w:pPr>
        <w:jc w:val="both"/>
        <w:rPr>
          <w:rFonts w:ascii="Arial" w:eastAsiaTheme="majorEastAsia" w:hAnsi="Arial" w:cs="Arial"/>
          <w:b/>
          <w:lang w:val="en-US"/>
        </w:rPr>
      </w:pPr>
    </w:p>
    <w:p w14:paraId="5EEBE3E4" w14:textId="2BDAF8B7" w:rsidR="00E25EBE" w:rsidRPr="00E25EBE" w:rsidRDefault="005527D5" w:rsidP="00E25EBE">
      <w:pPr>
        <w:pStyle w:val="Heading2"/>
        <w:numPr>
          <w:ilvl w:val="1"/>
          <w:numId w:val="19"/>
        </w:numPr>
        <w:spacing w:line="276" w:lineRule="auto"/>
        <w:jc w:val="both"/>
        <w:rPr>
          <w:rFonts w:ascii="Arial" w:hAnsi="Arial" w:cs="Arial"/>
          <w:b/>
          <w:color w:val="auto"/>
          <w:sz w:val="24"/>
          <w:szCs w:val="24"/>
          <w:lang w:val="en-US"/>
        </w:rPr>
      </w:pPr>
      <w:r>
        <w:rPr>
          <w:rFonts w:ascii="Arial" w:hAnsi="Arial" w:cs="Arial"/>
          <w:b/>
          <w:color w:val="auto"/>
          <w:sz w:val="24"/>
          <w:szCs w:val="24"/>
          <w:lang w:val="en-US"/>
        </w:rPr>
        <w:t>Swiss Real Estate M</w:t>
      </w:r>
      <w:r w:rsidR="00E25EBE">
        <w:rPr>
          <w:rFonts w:ascii="Arial" w:hAnsi="Arial" w:cs="Arial"/>
          <w:b/>
          <w:color w:val="auto"/>
          <w:sz w:val="24"/>
          <w:szCs w:val="24"/>
          <w:lang w:val="en-US"/>
        </w:rPr>
        <w:t>arket</w:t>
      </w:r>
    </w:p>
    <w:p w14:paraId="0C34145E" w14:textId="77777777" w:rsidR="00F57A3A" w:rsidRPr="006F2710" w:rsidRDefault="00F57A3A" w:rsidP="006F2710">
      <w:pPr>
        <w:jc w:val="both"/>
        <w:rPr>
          <w:rFonts w:ascii="Arial" w:eastAsiaTheme="majorEastAsia" w:hAnsi="Arial" w:cs="Arial"/>
          <w:b/>
          <w:lang w:val="en-US"/>
        </w:rPr>
      </w:pPr>
    </w:p>
    <w:p w14:paraId="60830EA0"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We ran the ABM model over a time period from December 1986 to September 2014, resulting in 110 trading rounds. Table 2 gives an overview of the results:</w:t>
      </w:r>
      <w:r w:rsidRPr="005168CF">
        <w:rPr>
          <w:rStyle w:val="FootnoteReference"/>
          <w:rFonts w:ascii="Arial" w:hAnsi="Arial" w:cs="Arial"/>
          <w:lang w:val="en-US"/>
        </w:rPr>
        <w:footnoteReference w:id="2"/>
      </w:r>
    </w:p>
    <w:p w14:paraId="1ED4EFD0" w14:textId="77777777" w:rsidR="00F57A3A" w:rsidRPr="005168CF" w:rsidRDefault="00F57A3A" w:rsidP="00F57A3A">
      <w:pPr>
        <w:spacing w:line="276" w:lineRule="auto"/>
        <w:jc w:val="both"/>
        <w:rPr>
          <w:rFonts w:ascii="Arial" w:hAnsi="Arial" w:cs="Arial"/>
          <w:lang w:val="en-US"/>
        </w:rPr>
      </w:pPr>
    </w:p>
    <w:p w14:paraId="6A00B050" w14:textId="77777777" w:rsidR="00F57A3A" w:rsidRPr="005168CF" w:rsidRDefault="00F57A3A" w:rsidP="00F57A3A">
      <w:pPr>
        <w:pStyle w:val="Caption"/>
        <w:spacing w:line="276" w:lineRule="auto"/>
        <w:jc w:val="both"/>
        <w:rPr>
          <w:rFonts w:ascii="Arial" w:hAnsi="Arial" w:cs="Arial"/>
          <w:color w:val="000000" w:themeColor="text1"/>
          <w:sz w:val="22"/>
          <w:szCs w:val="22"/>
          <w:lang w:val="en-US"/>
        </w:rPr>
      </w:pPr>
      <w:r w:rsidRPr="005168CF">
        <w:rPr>
          <w:rFonts w:ascii="Arial" w:hAnsi="Arial" w:cs="Arial"/>
          <w:b w:val="0"/>
          <w:bCs w:val="0"/>
          <w:color w:val="000000" w:themeColor="text1"/>
          <w:sz w:val="22"/>
          <w:szCs w:val="22"/>
          <w:lang w:val="en-US"/>
        </w:rPr>
        <w:t>Table 2: Simulation results: Model quality measures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2552"/>
        <w:gridCol w:w="2435"/>
      </w:tblGrid>
      <w:tr w:rsidR="00F57A3A" w:rsidRPr="005168CF" w14:paraId="10545561" w14:textId="77777777" w:rsidTr="00032684">
        <w:tc>
          <w:tcPr>
            <w:tcW w:w="4219" w:type="dxa"/>
          </w:tcPr>
          <w:p w14:paraId="3778DE48" w14:textId="77777777" w:rsidR="00F57A3A" w:rsidRPr="005168CF" w:rsidRDefault="00F57A3A" w:rsidP="00032684">
            <w:pPr>
              <w:spacing w:line="276" w:lineRule="auto"/>
              <w:jc w:val="both"/>
              <w:rPr>
                <w:rFonts w:ascii="Arial" w:eastAsia="MS MinNew Roman" w:hAnsi="Arial" w:cs="Arial"/>
                <w:b/>
                <w:sz w:val="22"/>
                <w:szCs w:val="22"/>
                <w:lang w:val="en-US"/>
              </w:rPr>
            </w:pPr>
          </w:p>
        </w:tc>
        <w:tc>
          <w:tcPr>
            <w:tcW w:w="2552" w:type="dxa"/>
          </w:tcPr>
          <w:p w14:paraId="32F4353E"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SI Investment PR</w:t>
            </w:r>
          </w:p>
        </w:tc>
        <w:tc>
          <w:tcPr>
            <w:tcW w:w="2435" w:type="dxa"/>
          </w:tcPr>
          <w:p w14:paraId="5DAB5121"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SI Private PR</w:t>
            </w:r>
          </w:p>
        </w:tc>
      </w:tr>
      <w:tr w:rsidR="00F57A3A" w:rsidRPr="005168CF" w14:paraId="19D48771" w14:textId="77777777" w:rsidTr="00032684">
        <w:tc>
          <w:tcPr>
            <w:tcW w:w="4219" w:type="dxa"/>
          </w:tcPr>
          <w:p w14:paraId="0E5C1D6B"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Observed upward price changes</w:t>
            </w:r>
          </w:p>
        </w:tc>
        <w:tc>
          <w:tcPr>
            <w:tcW w:w="2552" w:type="dxa"/>
          </w:tcPr>
          <w:p w14:paraId="7EE147AB" w14:textId="77777777" w:rsidR="00F57A3A" w:rsidRPr="005168CF" w:rsidRDefault="00F57A3A" w:rsidP="00032684">
            <w:pPr>
              <w:spacing w:line="276" w:lineRule="auto"/>
              <w:jc w:val="both"/>
              <w:rPr>
                <w:rFonts w:ascii="Arial" w:eastAsia="MS MinNew Roman" w:hAnsi="Arial" w:cs="Arial"/>
                <w:color w:val="000000" w:themeColor="text1"/>
                <w:sz w:val="22"/>
                <w:szCs w:val="22"/>
                <w:lang w:val="en-US"/>
              </w:rPr>
            </w:pPr>
            <w:r w:rsidRPr="005168CF">
              <w:rPr>
                <w:rFonts w:ascii="Arial" w:eastAsia="MS MinNew Roman" w:hAnsi="Arial" w:cs="Arial"/>
                <w:color w:val="000000" w:themeColor="text1"/>
                <w:sz w:val="22"/>
                <w:szCs w:val="22"/>
                <w:lang w:val="en-US"/>
              </w:rPr>
              <w:t>59</w:t>
            </w:r>
          </w:p>
        </w:tc>
        <w:tc>
          <w:tcPr>
            <w:tcW w:w="2435" w:type="dxa"/>
          </w:tcPr>
          <w:p w14:paraId="238754FF" w14:textId="77777777" w:rsidR="00F57A3A" w:rsidRPr="005168CF" w:rsidRDefault="00F57A3A" w:rsidP="00032684">
            <w:pPr>
              <w:spacing w:line="276" w:lineRule="auto"/>
              <w:jc w:val="both"/>
              <w:rPr>
                <w:rFonts w:ascii="Arial" w:eastAsia="MS MinNew Roman" w:hAnsi="Arial" w:cs="Arial"/>
                <w:color w:val="000000" w:themeColor="text1"/>
                <w:sz w:val="22"/>
                <w:szCs w:val="22"/>
                <w:lang w:val="en-US"/>
              </w:rPr>
            </w:pPr>
            <w:r w:rsidRPr="005168CF">
              <w:rPr>
                <w:rFonts w:ascii="Arial" w:eastAsia="MS MinNew Roman" w:hAnsi="Arial" w:cs="Arial"/>
                <w:color w:val="000000" w:themeColor="text1"/>
                <w:sz w:val="22"/>
                <w:szCs w:val="22"/>
                <w:lang w:val="en-US"/>
              </w:rPr>
              <w:t>66</w:t>
            </w:r>
          </w:p>
        </w:tc>
      </w:tr>
      <w:tr w:rsidR="00F57A3A" w:rsidRPr="005168CF" w14:paraId="798C3A17" w14:textId="77777777" w:rsidTr="00032684">
        <w:tc>
          <w:tcPr>
            <w:tcW w:w="4219" w:type="dxa"/>
          </w:tcPr>
          <w:p w14:paraId="095CB480"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lastRenderedPageBreak/>
              <w:t>Observed downward price changes</w:t>
            </w:r>
          </w:p>
        </w:tc>
        <w:tc>
          <w:tcPr>
            <w:tcW w:w="2552" w:type="dxa"/>
          </w:tcPr>
          <w:p w14:paraId="448539B0" w14:textId="77777777" w:rsidR="00F57A3A" w:rsidRPr="005168CF" w:rsidRDefault="00F57A3A" w:rsidP="00032684">
            <w:pPr>
              <w:spacing w:line="276" w:lineRule="auto"/>
              <w:jc w:val="both"/>
              <w:rPr>
                <w:rFonts w:ascii="Arial" w:eastAsia="MS MinNew Roman" w:hAnsi="Arial" w:cs="Arial"/>
                <w:color w:val="000000" w:themeColor="text1"/>
                <w:sz w:val="22"/>
                <w:szCs w:val="22"/>
                <w:lang w:val="en-US"/>
              </w:rPr>
            </w:pPr>
            <w:r w:rsidRPr="005168CF">
              <w:rPr>
                <w:rFonts w:ascii="Arial" w:eastAsia="MS MinNew Roman" w:hAnsi="Arial" w:cs="Arial"/>
                <w:color w:val="000000" w:themeColor="text1"/>
                <w:sz w:val="22"/>
                <w:szCs w:val="22"/>
                <w:lang w:val="en-US"/>
              </w:rPr>
              <w:t>51</w:t>
            </w:r>
          </w:p>
        </w:tc>
        <w:tc>
          <w:tcPr>
            <w:tcW w:w="2435" w:type="dxa"/>
          </w:tcPr>
          <w:p w14:paraId="4602EEB4" w14:textId="77777777" w:rsidR="00F57A3A" w:rsidRPr="005168CF" w:rsidRDefault="00F57A3A" w:rsidP="00032684">
            <w:pPr>
              <w:spacing w:line="276" w:lineRule="auto"/>
              <w:jc w:val="both"/>
              <w:rPr>
                <w:rFonts w:ascii="Arial" w:eastAsia="MS MinNew Roman" w:hAnsi="Arial" w:cs="Arial"/>
                <w:color w:val="000000" w:themeColor="text1"/>
                <w:sz w:val="22"/>
                <w:szCs w:val="22"/>
                <w:lang w:val="en-US"/>
              </w:rPr>
            </w:pPr>
            <w:r w:rsidRPr="005168CF">
              <w:rPr>
                <w:rFonts w:ascii="Arial" w:eastAsia="MS MinNew Roman" w:hAnsi="Arial" w:cs="Arial"/>
                <w:color w:val="000000" w:themeColor="text1"/>
                <w:sz w:val="22"/>
                <w:szCs w:val="22"/>
                <w:lang w:val="en-US"/>
              </w:rPr>
              <w:t>44</w:t>
            </w:r>
          </w:p>
        </w:tc>
      </w:tr>
      <w:tr w:rsidR="00F57A3A" w:rsidRPr="005168CF" w14:paraId="5F48E454" w14:textId="77777777" w:rsidTr="00032684">
        <w:tc>
          <w:tcPr>
            <w:tcW w:w="4219" w:type="dxa"/>
          </w:tcPr>
          <w:p w14:paraId="139D883B"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Generated BUY signals</w:t>
            </w:r>
          </w:p>
        </w:tc>
        <w:tc>
          <w:tcPr>
            <w:tcW w:w="2552" w:type="dxa"/>
          </w:tcPr>
          <w:p w14:paraId="1D800D49"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63</w:t>
            </w:r>
          </w:p>
        </w:tc>
        <w:tc>
          <w:tcPr>
            <w:tcW w:w="2435" w:type="dxa"/>
          </w:tcPr>
          <w:p w14:paraId="548A78CB"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74</w:t>
            </w:r>
          </w:p>
        </w:tc>
      </w:tr>
      <w:tr w:rsidR="00F57A3A" w:rsidRPr="005168CF" w14:paraId="1E444785" w14:textId="77777777" w:rsidTr="00032684">
        <w:tc>
          <w:tcPr>
            <w:tcW w:w="4219" w:type="dxa"/>
          </w:tcPr>
          <w:p w14:paraId="0A6C4987"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Generated SELL signals</w:t>
            </w:r>
          </w:p>
        </w:tc>
        <w:tc>
          <w:tcPr>
            <w:tcW w:w="2552" w:type="dxa"/>
          </w:tcPr>
          <w:p w14:paraId="774D7FCE"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47</w:t>
            </w:r>
          </w:p>
        </w:tc>
        <w:tc>
          <w:tcPr>
            <w:tcW w:w="2435" w:type="dxa"/>
          </w:tcPr>
          <w:p w14:paraId="732CF1C7"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36</w:t>
            </w:r>
          </w:p>
        </w:tc>
      </w:tr>
      <w:tr w:rsidR="00F57A3A" w:rsidRPr="005168CF" w14:paraId="2A317895" w14:textId="77777777" w:rsidTr="00032684">
        <w:tc>
          <w:tcPr>
            <w:tcW w:w="4219" w:type="dxa"/>
          </w:tcPr>
          <w:p w14:paraId="3C788645"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Hits</w:t>
            </w:r>
          </w:p>
        </w:tc>
        <w:tc>
          <w:tcPr>
            <w:tcW w:w="2552" w:type="dxa"/>
          </w:tcPr>
          <w:p w14:paraId="76C3CD72"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84</w:t>
            </w:r>
          </w:p>
        </w:tc>
        <w:tc>
          <w:tcPr>
            <w:tcW w:w="2435" w:type="dxa"/>
          </w:tcPr>
          <w:p w14:paraId="50AD7A16"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85</w:t>
            </w:r>
          </w:p>
        </w:tc>
      </w:tr>
      <w:tr w:rsidR="00F57A3A" w:rsidRPr="005168CF" w14:paraId="19564049" w14:textId="77777777" w:rsidTr="00032684">
        <w:tc>
          <w:tcPr>
            <w:tcW w:w="4219" w:type="dxa"/>
          </w:tcPr>
          <w:p w14:paraId="46EBB6C2"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Misses</w:t>
            </w:r>
          </w:p>
        </w:tc>
        <w:tc>
          <w:tcPr>
            <w:tcW w:w="2552" w:type="dxa"/>
          </w:tcPr>
          <w:p w14:paraId="5BCF0704"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26</w:t>
            </w:r>
          </w:p>
        </w:tc>
        <w:tc>
          <w:tcPr>
            <w:tcW w:w="2435" w:type="dxa"/>
          </w:tcPr>
          <w:p w14:paraId="304D1CCA"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26</w:t>
            </w:r>
          </w:p>
        </w:tc>
      </w:tr>
      <w:tr w:rsidR="00F57A3A" w:rsidRPr="005168CF" w14:paraId="1BF0D35D" w14:textId="77777777" w:rsidTr="00032684">
        <w:tc>
          <w:tcPr>
            <w:tcW w:w="4219" w:type="dxa"/>
          </w:tcPr>
          <w:p w14:paraId="1CECEE43"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Hit rate</w:t>
            </w:r>
          </w:p>
        </w:tc>
        <w:tc>
          <w:tcPr>
            <w:tcW w:w="2552" w:type="dxa"/>
          </w:tcPr>
          <w:p w14:paraId="487D4D97"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0.75 (75%)</w:t>
            </w:r>
          </w:p>
        </w:tc>
        <w:tc>
          <w:tcPr>
            <w:tcW w:w="2435" w:type="dxa"/>
          </w:tcPr>
          <w:p w14:paraId="0A167E1D"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0.75 (75%)</w:t>
            </w:r>
          </w:p>
        </w:tc>
      </w:tr>
      <w:tr w:rsidR="00F57A3A" w:rsidRPr="005168CF" w14:paraId="559E284A" w14:textId="77777777" w:rsidTr="00032684">
        <w:tc>
          <w:tcPr>
            <w:tcW w:w="4219" w:type="dxa"/>
          </w:tcPr>
          <w:p w14:paraId="00E94C70" w14:textId="77777777" w:rsidR="00F57A3A" w:rsidRPr="005168CF" w:rsidRDefault="00F57A3A" w:rsidP="00032684">
            <w:pPr>
              <w:spacing w:line="276" w:lineRule="auto"/>
              <w:jc w:val="both"/>
              <w:rPr>
                <w:rFonts w:ascii="Arial" w:eastAsia="MS MinNew Roman" w:hAnsi="Arial" w:cs="Arial"/>
                <w:b/>
                <w:sz w:val="22"/>
                <w:szCs w:val="22"/>
                <w:lang w:val="en-US"/>
              </w:rPr>
            </w:pPr>
            <w:r w:rsidRPr="005168CF">
              <w:rPr>
                <w:rFonts w:ascii="Arial" w:eastAsia="MS MinNew Roman" w:hAnsi="Arial" w:cs="Arial"/>
                <w:b/>
                <w:sz w:val="22"/>
                <w:szCs w:val="22"/>
                <w:lang w:val="en-US"/>
              </w:rPr>
              <w:t>Model efficiency</w:t>
            </w:r>
          </w:p>
        </w:tc>
        <w:tc>
          <w:tcPr>
            <w:tcW w:w="2552" w:type="dxa"/>
          </w:tcPr>
          <w:p w14:paraId="11261A44" w14:textId="77777777" w:rsidR="00F57A3A" w:rsidRPr="005168CF" w:rsidRDefault="00F57A3A" w:rsidP="00032684">
            <w:pPr>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0.54 (54%)</w:t>
            </w:r>
          </w:p>
        </w:tc>
        <w:tc>
          <w:tcPr>
            <w:tcW w:w="2435" w:type="dxa"/>
          </w:tcPr>
          <w:p w14:paraId="7DCA514E" w14:textId="77777777" w:rsidR="00F57A3A" w:rsidRPr="005168CF" w:rsidRDefault="00F57A3A" w:rsidP="00032684">
            <w:pPr>
              <w:keepNext/>
              <w:spacing w:line="276" w:lineRule="auto"/>
              <w:jc w:val="both"/>
              <w:rPr>
                <w:rFonts w:ascii="Arial" w:eastAsia="MS MinNew Roman" w:hAnsi="Arial" w:cs="Arial"/>
                <w:sz w:val="22"/>
                <w:szCs w:val="22"/>
                <w:lang w:val="en-US"/>
              </w:rPr>
            </w:pPr>
            <w:r w:rsidRPr="005168CF">
              <w:rPr>
                <w:rFonts w:ascii="Arial" w:eastAsia="MS MinNew Roman" w:hAnsi="Arial" w:cs="Arial"/>
                <w:sz w:val="22"/>
                <w:szCs w:val="22"/>
                <w:lang w:val="en-US"/>
              </w:rPr>
              <w:t>0.54 (54%)</w:t>
            </w:r>
          </w:p>
        </w:tc>
      </w:tr>
    </w:tbl>
    <w:p w14:paraId="2F7C865C" w14:textId="77777777" w:rsidR="00F57A3A" w:rsidRPr="005168CF" w:rsidRDefault="00F57A3A" w:rsidP="00F57A3A">
      <w:pPr>
        <w:spacing w:line="276" w:lineRule="auto"/>
        <w:jc w:val="both"/>
        <w:rPr>
          <w:rFonts w:ascii="Arial" w:hAnsi="Arial" w:cs="Arial"/>
          <w:sz w:val="18"/>
          <w:szCs w:val="18"/>
          <w:lang w:val="en-US"/>
        </w:rPr>
      </w:pPr>
      <w:r w:rsidRPr="005168CF">
        <w:rPr>
          <w:rFonts w:ascii="Arial" w:hAnsi="Arial" w:cs="Arial"/>
          <w:sz w:val="18"/>
          <w:szCs w:val="18"/>
          <w:lang w:val="en-US"/>
        </w:rPr>
        <w:t>Investment Real Estate Price Index (SI Investment PR), and Private Real Estate Price Index (SI Private PR)</w:t>
      </w:r>
    </w:p>
    <w:p w14:paraId="573B4B57" w14:textId="77777777" w:rsidR="00F57A3A" w:rsidRPr="005168CF" w:rsidRDefault="00F57A3A" w:rsidP="00F57A3A">
      <w:pPr>
        <w:spacing w:line="276" w:lineRule="auto"/>
        <w:jc w:val="both"/>
        <w:rPr>
          <w:rFonts w:ascii="Arial" w:hAnsi="Arial" w:cs="Arial"/>
          <w:sz w:val="18"/>
          <w:szCs w:val="18"/>
          <w:lang w:val="en-US"/>
        </w:rPr>
      </w:pPr>
    </w:p>
    <w:p w14:paraId="18C6333B"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For both observed indices, the SI Investment PR and the SI Private PR, the hit rate has a value of 0.75. This means that in 3 out of 4 quarters the trend prediction of the Swiss real estate market was correct. Although the hit rate gives an overall impression of the number of correctly predicted price movements, it does not say anything about the relative size of these movements and the resulting potential gains and losses. As is well known, a single big drawdown can nullify a whole series of precedent gains. The current model efficiency is 0.54 for the SI Investment PR and 0.54 for the SI Private PR. The economic meaning is the relation between the realized and the possible profit and is 54%. The presented ABM therefore indicates a high degree of reliability.</w:t>
      </w:r>
    </w:p>
    <w:p w14:paraId="06A8241F" w14:textId="77777777" w:rsidR="00F57A3A" w:rsidRPr="005168CF" w:rsidRDefault="00F57A3A" w:rsidP="00F57A3A">
      <w:pPr>
        <w:spacing w:line="276" w:lineRule="auto"/>
        <w:jc w:val="both"/>
        <w:rPr>
          <w:rFonts w:ascii="Arial" w:hAnsi="Arial" w:cs="Arial"/>
          <w:lang w:val="en-US"/>
        </w:rPr>
      </w:pPr>
    </w:p>
    <w:p w14:paraId="7B7E69E3"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A criticism of agent-based models is that there are too many degrees of freedom (LeBaron, 2006). The parameter space can be reduced through a stringent economic foundation and an evolutionary control of the development of the parameters.</w:t>
      </w:r>
    </w:p>
    <w:p w14:paraId="3BB1253F" w14:textId="77777777" w:rsidR="00F57A3A" w:rsidRPr="005168CF" w:rsidRDefault="00F57A3A" w:rsidP="00F57A3A">
      <w:pPr>
        <w:spacing w:line="276" w:lineRule="auto"/>
        <w:jc w:val="both"/>
        <w:rPr>
          <w:rFonts w:ascii="Arial" w:hAnsi="Arial" w:cs="Arial"/>
          <w:lang w:val="en-US"/>
        </w:rPr>
      </w:pPr>
    </w:p>
    <w:p w14:paraId="15EEBE6D"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Besides producing trend predictions for the next quarter, the model can be used for long-term scenario analysis and stress testing. In the following example, the effects of a long-term rise in interest rates on the SI Investment PR and SI Private PR are analyzed. The simulation is run up to the last quarter end (Q3 2014) relying on historical data. The interest rates are continuously increased as an example scenario. From this point on, the output time series (SI Investment PR and SI Private PR) is generated by the model. Figure 3 shows the outcome of the simulation runs for both target indices and also the yield of the Swiss Bond Index as the varied input measure during the period from December 1986 to September 2014.</w:t>
      </w:r>
    </w:p>
    <w:p w14:paraId="030C1B97" w14:textId="77777777" w:rsidR="00F57A3A" w:rsidRPr="005168CF" w:rsidRDefault="00F57A3A" w:rsidP="00F57A3A">
      <w:pPr>
        <w:spacing w:line="276" w:lineRule="auto"/>
        <w:jc w:val="both"/>
        <w:rPr>
          <w:rFonts w:ascii="Arial" w:hAnsi="Arial" w:cs="Arial"/>
          <w:lang w:val="en-US"/>
        </w:rPr>
      </w:pPr>
    </w:p>
    <w:p w14:paraId="028B27FB" w14:textId="77777777" w:rsidR="00F57A3A" w:rsidRPr="005168CF" w:rsidRDefault="00F57A3A" w:rsidP="00F57A3A">
      <w:pPr>
        <w:pStyle w:val="Caption"/>
        <w:spacing w:line="276" w:lineRule="auto"/>
        <w:jc w:val="both"/>
        <w:rPr>
          <w:rFonts w:ascii="Arial" w:hAnsi="Arial" w:cs="Arial"/>
          <w:color w:val="auto"/>
          <w:sz w:val="24"/>
          <w:szCs w:val="24"/>
          <w:lang w:val="en-US"/>
        </w:rPr>
      </w:pPr>
      <w:r w:rsidRPr="005168CF">
        <w:rPr>
          <w:rFonts w:ascii="Arial" w:hAnsi="Arial" w:cs="Arial"/>
          <w:color w:val="auto"/>
          <w:sz w:val="24"/>
          <w:szCs w:val="24"/>
          <w:lang w:val="en-US"/>
        </w:rPr>
        <w:t>Figure 3:  Scenario analysis results</w:t>
      </w:r>
    </w:p>
    <w:p w14:paraId="2F897D89" w14:textId="77777777" w:rsidR="00F57A3A" w:rsidRPr="005168CF" w:rsidRDefault="00F57A3A" w:rsidP="00F57A3A">
      <w:pPr>
        <w:spacing w:line="276" w:lineRule="auto"/>
        <w:jc w:val="both"/>
        <w:rPr>
          <w:rFonts w:ascii="Arial" w:hAnsi="Arial" w:cs="Arial"/>
          <w:lang w:val="en-US"/>
        </w:rPr>
      </w:pPr>
    </w:p>
    <w:p w14:paraId="48A1C7D5" w14:textId="77777777" w:rsidR="00F57A3A" w:rsidRPr="005168CF" w:rsidRDefault="00F57A3A" w:rsidP="00F57A3A">
      <w:pPr>
        <w:keepNext/>
        <w:spacing w:line="276" w:lineRule="auto"/>
        <w:jc w:val="both"/>
        <w:rPr>
          <w:rFonts w:ascii="Arial" w:hAnsi="Arial" w:cs="Arial"/>
          <w:lang w:val="en-US"/>
        </w:rPr>
      </w:pPr>
      <w:r w:rsidRPr="005168CF">
        <w:rPr>
          <w:rFonts w:ascii="Arial" w:hAnsi="Arial" w:cs="Arial"/>
          <w:noProof/>
          <w:lang w:val="de-CH" w:eastAsia="de-CH"/>
        </w:rPr>
        <w:lastRenderedPageBreak/>
        <w:drawing>
          <wp:inline distT="0" distB="0" distL="0" distR="0" wp14:anchorId="3EC6D29E" wp14:editId="6C8ABF41">
            <wp:extent cx="5756910" cy="3088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tionresults2.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3088005"/>
                    </a:xfrm>
                    <a:prstGeom prst="rect">
                      <a:avLst/>
                    </a:prstGeom>
                  </pic:spPr>
                </pic:pic>
              </a:graphicData>
            </a:graphic>
          </wp:inline>
        </w:drawing>
      </w:r>
    </w:p>
    <w:p w14:paraId="017C0B20" w14:textId="77777777" w:rsidR="00F57A3A" w:rsidRPr="005168CF" w:rsidRDefault="00F57A3A" w:rsidP="00F57A3A">
      <w:pPr>
        <w:spacing w:line="276" w:lineRule="auto"/>
        <w:jc w:val="both"/>
        <w:rPr>
          <w:rFonts w:ascii="Arial" w:hAnsi="Arial" w:cs="Arial"/>
          <w:lang w:val="en-US"/>
        </w:rPr>
      </w:pPr>
    </w:p>
    <w:p w14:paraId="0EC38ED0"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For both indices, a long-term increase of the interest rates leads to a clearly observable and significant decrease of both indices.</w:t>
      </w:r>
    </w:p>
    <w:p w14:paraId="7F4A8046" w14:textId="77777777" w:rsidR="00F57A3A" w:rsidRPr="005168CF" w:rsidRDefault="00F57A3A" w:rsidP="00F57A3A">
      <w:pPr>
        <w:spacing w:line="276" w:lineRule="auto"/>
        <w:jc w:val="both"/>
        <w:rPr>
          <w:rFonts w:ascii="Arial" w:hAnsi="Arial" w:cs="Arial"/>
          <w:lang w:val="en-US"/>
        </w:rPr>
      </w:pPr>
    </w:p>
    <w:p w14:paraId="68280A68"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 xml:space="preserve">In a situation lacking both positive as well as negative market forces, the simulated market is nevertheless inclined towards a negative correction. The reason is that the majority of agents have already invested in real estate, and their potential to adding further assets to their existing investment portfolio is limited due to monetary limitations. The maximum affordable purchase of an average Swiss household at the end of 2014 was CHF 734’000. At the same time the price for an average property was CHF 800’000. The broad population isn’t any more able to buy a property with the solid financing (Keating and Hasenmaile, 2015). </w:t>
      </w:r>
    </w:p>
    <w:p w14:paraId="63241B82" w14:textId="77777777" w:rsidR="00F57A3A" w:rsidRPr="005168CF" w:rsidRDefault="00F57A3A" w:rsidP="00F57A3A">
      <w:pPr>
        <w:spacing w:line="276" w:lineRule="auto"/>
        <w:jc w:val="both"/>
        <w:rPr>
          <w:rFonts w:ascii="Arial" w:hAnsi="Arial" w:cs="Arial"/>
          <w:lang w:val="en-US"/>
        </w:rPr>
      </w:pPr>
    </w:p>
    <w:p w14:paraId="7B40415C" w14:textId="77777777" w:rsidR="00F57A3A" w:rsidRPr="005168CF" w:rsidRDefault="00F57A3A" w:rsidP="00F57A3A">
      <w:pPr>
        <w:spacing w:line="276" w:lineRule="auto"/>
        <w:jc w:val="both"/>
        <w:rPr>
          <w:rFonts w:ascii="Arial" w:hAnsi="Arial" w:cs="Arial"/>
          <w:lang w:val="en-US"/>
        </w:rPr>
      </w:pPr>
      <w:r w:rsidRPr="005168CF">
        <w:rPr>
          <w:rFonts w:ascii="Arial" w:hAnsi="Arial" w:cs="Arial"/>
          <w:lang w:val="en-US"/>
        </w:rPr>
        <w:t>If however negative market impulses prevail, a significant negative correction is to be expected according to our simulation results. Therefore, according to the model a further long-term rise in the Swiss real estate markets is to be expected only in a regime of prolonged, strong and positive market forces. Our conclusion goes in the same line with Toivonen and Viitanen (2015), which consider that when market actors are aware of the forces appearing in their action environment, they are able to notice any new phenomena emerging and quickly adapt their actions and even steer the development to the desired direction.</w:t>
      </w:r>
    </w:p>
    <w:p w14:paraId="6B185F47" w14:textId="77777777" w:rsidR="00F57A3A" w:rsidRPr="005168CF" w:rsidRDefault="00F57A3A" w:rsidP="00F57A3A">
      <w:pPr>
        <w:spacing w:line="276" w:lineRule="auto"/>
        <w:jc w:val="both"/>
        <w:rPr>
          <w:rFonts w:ascii="Arial" w:hAnsi="Arial" w:cs="Arial"/>
          <w:lang w:val="en-US"/>
        </w:rPr>
      </w:pPr>
    </w:p>
    <w:p w14:paraId="210C268C" w14:textId="672948C9" w:rsidR="00F57A3A" w:rsidRDefault="00F57A3A" w:rsidP="00F57A3A">
      <w:pPr>
        <w:spacing w:line="276" w:lineRule="auto"/>
        <w:jc w:val="both"/>
        <w:rPr>
          <w:rFonts w:ascii="Arial" w:hAnsi="Arial" w:cs="Arial"/>
          <w:lang w:val="en-US"/>
        </w:rPr>
      </w:pPr>
      <w:r w:rsidRPr="005168CF">
        <w:rPr>
          <w:rFonts w:ascii="Arial" w:hAnsi="Arial" w:cs="Arial"/>
          <w:lang w:val="en-US"/>
        </w:rPr>
        <w:t xml:space="preserve">Unlike the other countries shown in figure 2, in Switzerland real estate prices continued to rise also in the years 2007 to 2014. Given the finding that in real estate cycles the downturn phase mirrors the preceding upturn phase, and assuming that the cycle’s tipping point was reached today, then both indices can be projected into the future. These projections actually correspond well with the simulation results provided by our agent-based model of the Swiss real estate market in figure 3. As we </w:t>
      </w:r>
      <w:r w:rsidRPr="005168CF">
        <w:rPr>
          <w:rFonts w:ascii="Arial" w:hAnsi="Arial" w:cs="Arial"/>
          <w:lang w:val="en-US"/>
        </w:rPr>
        <w:lastRenderedPageBreak/>
        <w:t>have argued above, prices will either continue to rise or otherwise they will fall, but a prolonged sideways movement is not very probable.</w:t>
      </w:r>
    </w:p>
    <w:p w14:paraId="35DA40EE" w14:textId="10F9B23F" w:rsidR="003A7F8F" w:rsidRDefault="003A7F8F" w:rsidP="00F57A3A">
      <w:pPr>
        <w:spacing w:line="276" w:lineRule="auto"/>
        <w:jc w:val="both"/>
        <w:rPr>
          <w:rFonts w:ascii="Arial" w:hAnsi="Arial" w:cs="Arial"/>
          <w:lang w:val="en-US"/>
        </w:rPr>
      </w:pPr>
    </w:p>
    <w:p w14:paraId="5637CED0" w14:textId="2F3B6974" w:rsidR="003A7F8F" w:rsidRDefault="003A7F8F" w:rsidP="00F57A3A">
      <w:pPr>
        <w:spacing w:line="276" w:lineRule="auto"/>
        <w:jc w:val="both"/>
        <w:rPr>
          <w:rFonts w:ascii="Arial" w:hAnsi="Arial" w:cs="Arial"/>
          <w:lang w:val="en-US"/>
        </w:rPr>
      </w:pPr>
      <w:r w:rsidRPr="003A7F8F">
        <w:rPr>
          <w:rFonts w:ascii="Arial" w:hAnsi="Arial" w:cs="Arial"/>
          <w:lang w:val="en-US"/>
        </w:rPr>
        <w:t>If however negative market impulses prevail, a significant negative correction is to be expected according to our simulation results.</w:t>
      </w:r>
      <w:r w:rsidR="00D81E12">
        <w:rPr>
          <w:rFonts w:ascii="Arial" w:hAnsi="Arial" w:cs="Arial"/>
          <w:lang w:val="en-US"/>
        </w:rPr>
        <w:t xml:space="preserve"> </w:t>
      </w:r>
      <w:r w:rsidRPr="003A7F8F">
        <w:rPr>
          <w:rFonts w:ascii="Arial" w:hAnsi="Arial" w:cs="Arial"/>
          <w:lang w:val="en-US"/>
        </w:rPr>
        <w:t>Therefore, according to the model a further long-term rise in the Swiss real estate markets is to be expected only in a regime of prolonged, strong and positive market forces.</w:t>
      </w:r>
      <w:r w:rsidR="00D81E12">
        <w:rPr>
          <w:rFonts w:ascii="Arial" w:hAnsi="Arial" w:cs="Arial"/>
          <w:lang w:val="en-US"/>
        </w:rPr>
        <w:t xml:space="preserve"> </w:t>
      </w:r>
      <w:r w:rsidRPr="003A7F8F">
        <w:rPr>
          <w:rFonts w:ascii="Arial" w:hAnsi="Arial" w:cs="Arial"/>
          <w:lang w:val="en-US"/>
        </w:rPr>
        <w:t>The scenario analyses indicate that the Swiss real estate market is in a rather weak condition. In the absence of positive market forces, the market has a tendency towards a negative correction, which becomes more poignant in the presence of negative market forces such as rising interest rates. In the simulated scenarios, increasing interest rates can lead to a strong negative correction of the real estate markets.</w:t>
      </w:r>
    </w:p>
    <w:p w14:paraId="15494B67" w14:textId="37DE741A" w:rsidR="00556B87" w:rsidRDefault="00556B87" w:rsidP="00F57A3A">
      <w:pPr>
        <w:spacing w:line="276" w:lineRule="auto"/>
        <w:jc w:val="both"/>
        <w:rPr>
          <w:rFonts w:ascii="Arial" w:hAnsi="Arial" w:cs="Arial"/>
          <w:lang w:val="en-US"/>
        </w:rPr>
      </w:pPr>
    </w:p>
    <w:p w14:paraId="6C18E06F" w14:textId="14E252A4" w:rsidR="00556B87" w:rsidRDefault="00556B87" w:rsidP="00F57A3A">
      <w:pPr>
        <w:spacing w:line="276" w:lineRule="auto"/>
        <w:jc w:val="both"/>
        <w:rPr>
          <w:rFonts w:ascii="Arial" w:hAnsi="Arial" w:cs="Arial"/>
          <w:lang w:val="en-US"/>
        </w:rPr>
      </w:pPr>
      <w:r w:rsidRPr="00556B87">
        <w:rPr>
          <w:rFonts w:ascii="Arial" w:hAnsi="Arial" w:cs="Arial"/>
          <w:lang w:val="en-US"/>
        </w:rPr>
        <w:t>The AVACO model fits very well to the development of the Swiss real estate market since 1986. It can be used for forecasting in asset management and for scenario analysis in risk management. Scenario analyses conducted by AVACO indicate that the Swiss real estate market is in a rather weak condition. In the absence of positive market forces, the market has a tendency towards a negative correction, which becomes more poignant in the presence of negative market forces such as rising interest rates. In the simulated scenarios, increasing interest rates can lead to a sharp correction of the real estate indices.</w:t>
      </w:r>
    </w:p>
    <w:p w14:paraId="7FC80469" w14:textId="68E2FB1E" w:rsidR="00E75EAA" w:rsidRPr="006F2710" w:rsidRDefault="00E75EAA" w:rsidP="006F2710">
      <w:pPr>
        <w:spacing w:line="276" w:lineRule="auto"/>
        <w:jc w:val="both"/>
        <w:rPr>
          <w:rFonts w:ascii="Arial" w:hAnsi="Arial" w:cs="Arial"/>
          <w:lang w:val="en-US"/>
        </w:rPr>
      </w:pPr>
    </w:p>
    <w:p w14:paraId="35A49648" w14:textId="5AC57F9A" w:rsidR="00F05233" w:rsidRDefault="00F05233" w:rsidP="00F05233">
      <w:pPr>
        <w:pStyle w:val="Heading2"/>
        <w:numPr>
          <w:ilvl w:val="1"/>
          <w:numId w:val="19"/>
        </w:numPr>
        <w:spacing w:line="276" w:lineRule="auto"/>
        <w:jc w:val="both"/>
        <w:rPr>
          <w:rFonts w:ascii="Arial" w:hAnsi="Arial" w:cs="Arial"/>
          <w:b/>
          <w:color w:val="auto"/>
          <w:sz w:val="24"/>
          <w:szCs w:val="24"/>
          <w:lang w:val="en-US"/>
        </w:rPr>
      </w:pPr>
      <w:r>
        <w:rPr>
          <w:rFonts w:ascii="Arial" w:hAnsi="Arial" w:cs="Arial"/>
          <w:b/>
          <w:color w:val="auto"/>
          <w:sz w:val="24"/>
          <w:szCs w:val="24"/>
          <w:lang w:val="en-US"/>
        </w:rPr>
        <w:t>Crypto Currencies</w:t>
      </w:r>
    </w:p>
    <w:p w14:paraId="51792E48" w14:textId="77777777" w:rsidR="00EF55A1" w:rsidRPr="005168CF" w:rsidRDefault="00EF55A1" w:rsidP="00625536">
      <w:pPr>
        <w:spacing w:line="276" w:lineRule="auto"/>
        <w:jc w:val="both"/>
        <w:rPr>
          <w:rFonts w:ascii="Arial" w:hAnsi="Arial" w:cs="Arial"/>
          <w:lang w:val="en-US"/>
        </w:rPr>
      </w:pPr>
    </w:p>
    <w:p w14:paraId="55EC1204" w14:textId="77777777" w:rsidR="00AD3816" w:rsidRPr="001E745C" w:rsidRDefault="00AD3816" w:rsidP="00AD3816">
      <w:pPr>
        <w:keepNext/>
        <w:keepLines/>
        <w:numPr>
          <w:ilvl w:val="1"/>
          <w:numId w:val="19"/>
        </w:numPr>
        <w:spacing w:before="40" w:line="276" w:lineRule="auto"/>
        <w:jc w:val="both"/>
        <w:outlineLvl w:val="1"/>
        <w:rPr>
          <w:rFonts w:ascii="Arial" w:eastAsiaTheme="majorEastAsia" w:hAnsi="Arial" w:cs="Arial"/>
          <w:b/>
          <w:lang w:val="en-US"/>
        </w:rPr>
      </w:pPr>
      <w:r>
        <w:rPr>
          <w:rFonts w:ascii="Arial" w:eastAsiaTheme="majorEastAsia" w:hAnsi="Arial" w:cs="Arial"/>
          <w:b/>
          <w:lang w:val="en-US"/>
        </w:rPr>
        <w:t>Multi market models</w:t>
      </w:r>
    </w:p>
    <w:p w14:paraId="330764AF"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The model covers an international set of currency, bond, equity and commodity markets for the time between January 1982 and September 2014 on a monthly basis. </w:t>
      </w:r>
    </w:p>
    <w:p w14:paraId="3DAE641E" w14:textId="77777777" w:rsidR="00F20F54" w:rsidRPr="00F20F54" w:rsidRDefault="00F20F54" w:rsidP="00F20F54">
      <w:pPr>
        <w:jc w:val="both"/>
        <w:rPr>
          <w:rFonts w:ascii="Arial" w:hAnsi="Arial" w:cs="Arial"/>
          <w:lang w:val="en-US"/>
        </w:rPr>
      </w:pPr>
    </w:p>
    <w:p w14:paraId="6643A4DE" w14:textId="77777777" w:rsidR="00F20F54" w:rsidRPr="00F20F54" w:rsidRDefault="00F20F54" w:rsidP="00F20F54">
      <w:pPr>
        <w:jc w:val="both"/>
        <w:rPr>
          <w:rFonts w:ascii="Arial" w:hAnsi="Arial" w:cs="Arial"/>
          <w:lang w:val="en-US"/>
        </w:rPr>
      </w:pPr>
      <w:r w:rsidRPr="00F20F54">
        <w:rPr>
          <w:rFonts w:ascii="Arial" w:hAnsi="Arial" w:cs="Arial"/>
          <w:lang w:val="en-US"/>
        </w:rPr>
        <w:t>We include the following markets:</w:t>
      </w:r>
    </w:p>
    <w:p w14:paraId="4C18CDE9" w14:textId="77777777" w:rsidR="00F20F54" w:rsidRPr="00F20F54" w:rsidRDefault="00F20F54" w:rsidP="00F20F54">
      <w:pPr>
        <w:jc w:val="both"/>
        <w:rPr>
          <w:rFonts w:ascii="Arial" w:hAnsi="Arial" w:cs="Arial"/>
          <w:lang w:val="en-US"/>
        </w:rPr>
      </w:pPr>
      <w:r w:rsidRPr="00F20F54">
        <w:rPr>
          <w:rFonts w:ascii="Arial" w:hAnsi="Arial" w:cs="Arial"/>
          <w:lang w:val="en-US"/>
        </w:rPr>
        <w:t>•</w:t>
      </w:r>
      <w:r w:rsidRPr="00F20F54">
        <w:rPr>
          <w:rFonts w:ascii="Arial" w:hAnsi="Arial" w:cs="Arial"/>
          <w:lang w:val="en-US"/>
        </w:rPr>
        <w:tab/>
        <w:t>Currency markets: EUR/USD, YEN/USD, EUR/CHF</w:t>
      </w:r>
    </w:p>
    <w:p w14:paraId="6EA047BF" w14:textId="77777777" w:rsidR="00F20F54" w:rsidRPr="00F20F54" w:rsidRDefault="00F20F54" w:rsidP="00F20F54">
      <w:pPr>
        <w:jc w:val="both"/>
        <w:rPr>
          <w:rFonts w:ascii="Arial" w:hAnsi="Arial" w:cs="Arial"/>
          <w:lang w:val="en-US"/>
        </w:rPr>
      </w:pPr>
      <w:r w:rsidRPr="00F20F54">
        <w:rPr>
          <w:rFonts w:ascii="Arial" w:hAnsi="Arial" w:cs="Arial"/>
          <w:lang w:val="en-US"/>
        </w:rPr>
        <w:t>•</w:t>
      </w:r>
      <w:r w:rsidRPr="00F20F54">
        <w:rPr>
          <w:rFonts w:ascii="Arial" w:hAnsi="Arial" w:cs="Arial"/>
          <w:lang w:val="en-US"/>
        </w:rPr>
        <w:tab/>
        <w:t>Bond markets: United States, Euro Area, Japan, Switzerland</w:t>
      </w:r>
    </w:p>
    <w:p w14:paraId="15ED5E01" w14:textId="77777777" w:rsidR="00F20F54" w:rsidRPr="00F20F54" w:rsidRDefault="00F20F54" w:rsidP="00F20F54">
      <w:pPr>
        <w:jc w:val="both"/>
        <w:rPr>
          <w:rFonts w:ascii="Arial" w:hAnsi="Arial" w:cs="Arial"/>
          <w:lang w:val="en-US"/>
        </w:rPr>
      </w:pPr>
      <w:r w:rsidRPr="00F20F54">
        <w:rPr>
          <w:rFonts w:ascii="Arial" w:hAnsi="Arial" w:cs="Arial"/>
          <w:lang w:val="en-US"/>
        </w:rPr>
        <w:t>•</w:t>
      </w:r>
      <w:r w:rsidRPr="00F20F54">
        <w:rPr>
          <w:rFonts w:ascii="Arial" w:hAnsi="Arial" w:cs="Arial"/>
          <w:lang w:val="en-US"/>
        </w:rPr>
        <w:tab/>
        <w:t>Equity markets: S&amp;P 500, DAX, Nikkei 225, SPI</w:t>
      </w:r>
    </w:p>
    <w:p w14:paraId="4E3C0A54" w14:textId="77777777" w:rsidR="00F20F54" w:rsidRPr="00F20F54" w:rsidRDefault="00F20F54" w:rsidP="00F20F54">
      <w:pPr>
        <w:jc w:val="both"/>
        <w:rPr>
          <w:rFonts w:ascii="Arial" w:hAnsi="Arial" w:cs="Arial"/>
          <w:lang w:val="en-US"/>
        </w:rPr>
      </w:pPr>
      <w:r w:rsidRPr="00F20F54">
        <w:rPr>
          <w:rFonts w:ascii="Arial" w:hAnsi="Arial" w:cs="Arial"/>
          <w:lang w:val="en-US"/>
        </w:rPr>
        <w:t>•</w:t>
      </w:r>
      <w:r w:rsidRPr="00F20F54">
        <w:rPr>
          <w:rFonts w:ascii="Arial" w:hAnsi="Arial" w:cs="Arial"/>
          <w:lang w:val="en-US"/>
        </w:rPr>
        <w:tab/>
        <w:t xml:space="preserve">Commodity markets: Gold and oil </w:t>
      </w:r>
    </w:p>
    <w:p w14:paraId="70651AAB" w14:textId="77777777" w:rsidR="00F20F54" w:rsidRPr="00F20F54" w:rsidRDefault="00F20F54" w:rsidP="00F20F54">
      <w:pPr>
        <w:jc w:val="both"/>
        <w:rPr>
          <w:rFonts w:ascii="Arial" w:hAnsi="Arial" w:cs="Arial"/>
          <w:lang w:val="en-US"/>
        </w:rPr>
      </w:pPr>
    </w:p>
    <w:p w14:paraId="71BD105F"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This market environment covers the main financial regions and instruments with a Swiss bias. Only one good is traded in each market. This is realistic and easily understandable for the currencies exchange markets. However, the bond and stock markets are simplified because there is only one asset traded in each market, whereas in reality different stocks and bonds are traded in one single market. While this assumption is simple, it is also realistic because it amounts to a situation similar to trading an index (future). </w:t>
      </w:r>
    </w:p>
    <w:p w14:paraId="7D2A0F42" w14:textId="77777777" w:rsidR="00F20F54" w:rsidRPr="00F20F54" w:rsidRDefault="00F20F54" w:rsidP="00F20F54">
      <w:pPr>
        <w:jc w:val="both"/>
        <w:rPr>
          <w:rFonts w:ascii="Arial" w:hAnsi="Arial" w:cs="Arial"/>
          <w:lang w:val="en-US"/>
        </w:rPr>
      </w:pPr>
    </w:p>
    <w:p w14:paraId="519855D4"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To make trading decisions, the agents in our model rely on a set of both technical and fundamental factors based on past movements of different time series. They decide to either buy or sell an asset, or to take no action at all. We model two types of agents: Fundamentalist and technical traders. Table 1 provides an overview of all </w:t>
      </w:r>
      <w:r w:rsidRPr="00F20F54">
        <w:rPr>
          <w:rFonts w:ascii="Arial" w:hAnsi="Arial" w:cs="Arial"/>
          <w:lang w:val="en-US"/>
        </w:rPr>
        <w:lastRenderedPageBreak/>
        <w:t>agent classes, their characteristics, the market they trade in and the time series they use as input decision factors.</w:t>
      </w:r>
    </w:p>
    <w:p w14:paraId="5C2193C9" w14:textId="77777777" w:rsidR="00F20F54" w:rsidRPr="00F20F54" w:rsidRDefault="00F20F54" w:rsidP="00F20F54">
      <w:pPr>
        <w:jc w:val="both"/>
        <w:rPr>
          <w:rFonts w:ascii="Arial" w:hAnsi="Arial" w:cs="Arial"/>
          <w:lang w:val="en-US"/>
        </w:rPr>
      </w:pPr>
    </w:p>
    <w:tbl>
      <w:tblPr>
        <w:tblW w:w="10215" w:type="dxa"/>
        <w:tblInd w:w="99"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098"/>
        <w:gridCol w:w="3298"/>
        <w:gridCol w:w="4819"/>
      </w:tblGrid>
      <w:tr w:rsidR="00F20F54" w:rsidRPr="00FB50C9" w14:paraId="6AF4D9E7" w14:textId="77777777" w:rsidTr="00F20F54">
        <w:trPr>
          <w:trHeight w:val="283"/>
        </w:trPr>
        <w:tc>
          <w:tcPr>
            <w:tcW w:w="10215" w:type="dxa"/>
            <w:gridSpan w:val="3"/>
            <w:vAlign w:val="center"/>
          </w:tcPr>
          <w:p w14:paraId="7220AF60" w14:textId="77777777" w:rsidR="00F20F54" w:rsidRPr="0037794B" w:rsidRDefault="00F20F54" w:rsidP="00F20F54">
            <w:pPr>
              <w:spacing w:before="120" w:line="360" w:lineRule="auto"/>
              <w:ind w:left="-85"/>
              <w:jc w:val="both"/>
              <w:rPr>
                <w:rFonts w:ascii="Times New Roman" w:eastAsia="Times New Roman" w:hAnsi="Times New Roman"/>
                <w:b/>
                <w:i/>
                <w:sz w:val="18"/>
                <w:szCs w:val="18"/>
                <w:lang w:val="en-US"/>
              </w:rPr>
            </w:pPr>
            <w:r w:rsidRPr="0037794B">
              <w:rPr>
                <w:rFonts w:ascii="Times New Roman" w:eastAsia="Times New Roman" w:hAnsi="Times New Roman"/>
                <w:b/>
                <w:i/>
                <w:sz w:val="18"/>
                <w:szCs w:val="18"/>
                <w:lang w:val="en-US"/>
              </w:rPr>
              <w:t>Table I.</w:t>
            </w:r>
            <w:r w:rsidRPr="0037794B">
              <w:rPr>
                <w:rFonts w:ascii="Times New Roman" w:eastAsia="Times New Roman" w:hAnsi="Times New Roman"/>
                <w:b/>
                <w:sz w:val="18"/>
                <w:szCs w:val="18"/>
                <w:lang w:val="en-US"/>
              </w:rPr>
              <w:t xml:space="preserve"> </w:t>
            </w:r>
            <w:r>
              <w:rPr>
                <w:rFonts w:ascii="Times New Roman" w:eastAsia="Times New Roman" w:hAnsi="Times New Roman"/>
                <w:b/>
                <w:sz w:val="18"/>
                <w:szCs w:val="18"/>
                <w:lang w:val="en-US"/>
              </w:rPr>
              <w:t>Agent Classes</w:t>
            </w:r>
          </w:p>
        </w:tc>
      </w:tr>
      <w:tr w:rsidR="00F20F54" w:rsidRPr="00FB50C9" w14:paraId="6329A860" w14:textId="77777777" w:rsidTr="00F20F54">
        <w:trPr>
          <w:trHeight w:val="567"/>
        </w:trPr>
        <w:tc>
          <w:tcPr>
            <w:tcW w:w="2098" w:type="dxa"/>
            <w:vAlign w:val="center"/>
          </w:tcPr>
          <w:p w14:paraId="4E585FA3"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Market</w:t>
            </w:r>
          </w:p>
        </w:tc>
        <w:tc>
          <w:tcPr>
            <w:tcW w:w="3298" w:type="dxa"/>
            <w:vAlign w:val="center"/>
          </w:tcPr>
          <w:p w14:paraId="2F59DFA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Technical</w:t>
            </w:r>
          </w:p>
        </w:tc>
        <w:tc>
          <w:tcPr>
            <w:tcW w:w="4819" w:type="dxa"/>
            <w:vAlign w:val="center"/>
          </w:tcPr>
          <w:p w14:paraId="25E5278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Fundamentalist</w:t>
            </w:r>
          </w:p>
        </w:tc>
      </w:tr>
      <w:tr w:rsidR="00F20F54" w:rsidRPr="002E04DE" w14:paraId="2DEEE0A8" w14:textId="77777777" w:rsidTr="00F20F54">
        <w:trPr>
          <w:trHeight w:val="680"/>
        </w:trPr>
        <w:tc>
          <w:tcPr>
            <w:tcW w:w="2098" w:type="dxa"/>
            <w:vAlign w:val="center"/>
          </w:tcPr>
          <w:p w14:paraId="502D5845"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EURUSD</w:t>
            </w:r>
          </w:p>
        </w:tc>
        <w:tc>
          <w:tcPr>
            <w:tcW w:w="3298" w:type="dxa"/>
            <w:vAlign w:val="center"/>
          </w:tcPr>
          <w:p w14:paraId="76A03065"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p w14:paraId="7A6D910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3</w:t>
            </w:r>
          </w:p>
        </w:tc>
        <w:tc>
          <w:tcPr>
            <w:tcW w:w="4819" w:type="dxa"/>
            <w:vAlign w:val="center"/>
          </w:tcPr>
          <w:p w14:paraId="5861503F"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Oil</w:t>
            </w:r>
          </w:p>
          <w:p w14:paraId="28505C3A"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YENUSD</w:t>
            </w:r>
          </w:p>
        </w:tc>
      </w:tr>
      <w:tr w:rsidR="00F20F54" w:rsidRPr="001A584E" w14:paraId="5DA4077F" w14:textId="77777777" w:rsidTr="00F20F54">
        <w:trPr>
          <w:trHeight w:val="680"/>
        </w:trPr>
        <w:tc>
          <w:tcPr>
            <w:tcW w:w="2098" w:type="dxa"/>
            <w:vAlign w:val="center"/>
          </w:tcPr>
          <w:p w14:paraId="402D60BA"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YENUSD</w:t>
            </w:r>
          </w:p>
        </w:tc>
        <w:tc>
          <w:tcPr>
            <w:tcW w:w="3298" w:type="dxa"/>
            <w:vAlign w:val="center"/>
          </w:tcPr>
          <w:p w14:paraId="27E4954A"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p w14:paraId="074009E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3</w:t>
            </w:r>
          </w:p>
        </w:tc>
        <w:tc>
          <w:tcPr>
            <w:tcW w:w="4819" w:type="dxa"/>
            <w:vAlign w:val="center"/>
          </w:tcPr>
          <w:p w14:paraId="3EC9C554" w14:textId="77777777" w:rsidR="00F20F54" w:rsidRPr="002E04DE" w:rsidRDefault="00F20F54" w:rsidP="00F20F54">
            <w:pPr>
              <w:jc w:val="center"/>
              <w:rPr>
                <w:rFonts w:ascii="Times New Roman" w:eastAsia="Times New Roman" w:hAnsi="Times New Roman"/>
                <w:sz w:val="18"/>
                <w:szCs w:val="18"/>
                <w:lang w:val="en-US"/>
              </w:rPr>
            </w:pPr>
          </w:p>
        </w:tc>
      </w:tr>
      <w:tr w:rsidR="00F20F54" w:rsidRPr="000E4AC5" w14:paraId="2511E279" w14:textId="77777777" w:rsidTr="00F20F54">
        <w:trPr>
          <w:trHeight w:val="680"/>
        </w:trPr>
        <w:tc>
          <w:tcPr>
            <w:tcW w:w="2098" w:type="dxa"/>
            <w:vAlign w:val="center"/>
          </w:tcPr>
          <w:p w14:paraId="78C0871F"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EURCHF</w:t>
            </w:r>
          </w:p>
        </w:tc>
        <w:tc>
          <w:tcPr>
            <w:tcW w:w="3298" w:type="dxa"/>
            <w:vAlign w:val="center"/>
          </w:tcPr>
          <w:p w14:paraId="0D0CB75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tc>
        <w:tc>
          <w:tcPr>
            <w:tcW w:w="4819" w:type="dxa"/>
            <w:vAlign w:val="center"/>
          </w:tcPr>
          <w:p w14:paraId="3BE30B14"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S&amp;P 500</w:t>
            </w:r>
          </w:p>
          <w:p w14:paraId="102CE31F" w14:textId="77777777" w:rsidR="00F20F54" w:rsidRPr="003406D9"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Oil</w:t>
            </w:r>
          </w:p>
        </w:tc>
      </w:tr>
      <w:tr w:rsidR="00F20F54" w:rsidRPr="002E04DE" w14:paraId="5B5B5C19" w14:textId="77777777" w:rsidTr="00F20F54">
        <w:trPr>
          <w:trHeight w:val="680"/>
        </w:trPr>
        <w:tc>
          <w:tcPr>
            <w:tcW w:w="2098" w:type="dxa"/>
            <w:vAlign w:val="center"/>
          </w:tcPr>
          <w:p w14:paraId="3A29F700"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USD</w:t>
            </w:r>
          </w:p>
        </w:tc>
        <w:tc>
          <w:tcPr>
            <w:tcW w:w="3298" w:type="dxa"/>
            <w:vAlign w:val="center"/>
          </w:tcPr>
          <w:p w14:paraId="76F599EE"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p w14:paraId="471F44F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Contrarian with lag 1</w:t>
            </w:r>
          </w:p>
        </w:tc>
        <w:tc>
          <w:tcPr>
            <w:tcW w:w="4819" w:type="dxa"/>
            <w:vAlign w:val="center"/>
          </w:tcPr>
          <w:p w14:paraId="15A64566"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EURUSD</w:t>
            </w:r>
          </w:p>
          <w:p w14:paraId="26C12955"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EURCHF</w:t>
            </w:r>
          </w:p>
        </w:tc>
      </w:tr>
      <w:tr w:rsidR="00F20F54" w:rsidRPr="002E04DE" w14:paraId="2BC80DF4" w14:textId="77777777" w:rsidTr="00F20F54">
        <w:trPr>
          <w:trHeight w:val="680"/>
        </w:trPr>
        <w:tc>
          <w:tcPr>
            <w:tcW w:w="2098" w:type="dxa"/>
            <w:vAlign w:val="center"/>
          </w:tcPr>
          <w:p w14:paraId="5AE90A17"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EUR</w:t>
            </w:r>
          </w:p>
        </w:tc>
        <w:tc>
          <w:tcPr>
            <w:tcW w:w="3298" w:type="dxa"/>
            <w:vAlign w:val="center"/>
          </w:tcPr>
          <w:p w14:paraId="3934FA7C"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p w14:paraId="407A30A0"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3</w:t>
            </w:r>
          </w:p>
        </w:tc>
        <w:tc>
          <w:tcPr>
            <w:tcW w:w="4819" w:type="dxa"/>
            <w:vAlign w:val="center"/>
          </w:tcPr>
          <w:p w14:paraId="2AA85234"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EURUSD</w:t>
            </w:r>
          </w:p>
          <w:p w14:paraId="166653D5"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YENUSD</w:t>
            </w:r>
          </w:p>
          <w:p w14:paraId="6EAADC08" w14:textId="77777777" w:rsidR="00F20F54" w:rsidRPr="00A776D9"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S&amp;P 500</w:t>
            </w:r>
          </w:p>
        </w:tc>
      </w:tr>
      <w:tr w:rsidR="00F20F54" w:rsidRPr="00CB5776" w14:paraId="7C6D746B" w14:textId="77777777" w:rsidTr="00F20F54">
        <w:trPr>
          <w:trHeight w:val="680"/>
        </w:trPr>
        <w:tc>
          <w:tcPr>
            <w:tcW w:w="2098" w:type="dxa"/>
            <w:vAlign w:val="center"/>
          </w:tcPr>
          <w:p w14:paraId="34CC049C"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YEN</w:t>
            </w:r>
          </w:p>
        </w:tc>
        <w:tc>
          <w:tcPr>
            <w:tcW w:w="3298" w:type="dxa"/>
            <w:vAlign w:val="center"/>
          </w:tcPr>
          <w:p w14:paraId="11D9ACA4"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12</w:t>
            </w:r>
          </w:p>
          <w:p w14:paraId="66C0CC7E"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Contrarian with lag 6</w:t>
            </w:r>
          </w:p>
        </w:tc>
        <w:tc>
          <w:tcPr>
            <w:tcW w:w="4819" w:type="dxa"/>
            <w:vAlign w:val="center"/>
          </w:tcPr>
          <w:p w14:paraId="0D71F177"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S&amp;P 500</w:t>
            </w:r>
          </w:p>
          <w:p w14:paraId="67492716"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Nikkei 225</w:t>
            </w:r>
          </w:p>
        </w:tc>
      </w:tr>
      <w:tr w:rsidR="00F20F54" w:rsidRPr="00BE2AFC" w14:paraId="34BCAAF6" w14:textId="77777777" w:rsidTr="00F20F54">
        <w:trPr>
          <w:trHeight w:val="680"/>
        </w:trPr>
        <w:tc>
          <w:tcPr>
            <w:tcW w:w="2098" w:type="dxa"/>
            <w:vAlign w:val="center"/>
          </w:tcPr>
          <w:p w14:paraId="0E182FA0"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CHF</w:t>
            </w:r>
          </w:p>
        </w:tc>
        <w:tc>
          <w:tcPr>
            <w:tcW w:w="3298" w:type="dxa"/>
            <w:vAlign w:val="center"/>
          </w:tcPr>
          <w:p w14:paraId="50E7BF40"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w:t>
            </w:r>
          </w:p>
          <w:p w14:paraId="65A0E7F1"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Contrarian with lag 1</w:t>
            </w:r>
          </w:p>
        </w:tc>
        <w:tc>
          <w:tcPr>
            <w:tcW w:w="4819" w:type="dxa"/>
            <w:vAlign w:val="center"/>
          </w:tcPr>
          <w:p w14:paraId="68EF05C1"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EURUSD</w:t>
            </w:r>
          </w:p>
        </w:tc>
      </w:tr>
      <w:tr w:rsidR="00F20F54" w:rsidRPr="001A584E" w14:paraId="13E409AD" w14:textId="77777777" w:rsidTr="00F20F54">
        <w:trPr>
          <w:trHeight w:val="680"/>
        </w:trPr>
        <w:tc>
          <w:tcPr>
            <w:tcW w:w="2098" w:type="dxa"/>
            <w:vAlign w:val="center"/>
          </w:tcPr>
          <w:p w14:paraId="44F75DC8"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S&amp;P 500</w:t>
            </w:r>
          </w:p>
        </w:tc>
        <w:tc>
          <w:tcPr>
            <w:tcW w:w="3298" w:type="dxa"/>
            <w:vAlign w:val="center"/>
          </w:tcPr>
          <w:p w14:paraId="60D5A742" w14:textId="77777777" w:rsidR="00F20F54" w:rsidRDefault="00F20F54" w:rsidP="00F20F54">
            <w:pPr>
              <w:jc w:val="center"/>
              <w:rPr>
                <w:rFonts w:ascii="Times New Roman" w:eastAsia="Times New Roman" w:hAnsi="Times New Roman"/>
                <w:sz w:val="18"/>
                <w:szCs w:val="18"/>
                <w:lang w:val="en-US"/>
              </w:rPr>
            </w:pPr>
            <w:r w:rsidRPr="005F28D9">
              <w:rPr>
                <w:rFonts w:ascii="Times New Roman" w:eastAsia="Times New Roman" w:hAnsi="Times New Roman"/>
                <w:sz w:val="18"/>
                <w:szCs w:val="18"/>
                <w:lang w:val="en-US"/>
              </w:rPr>
              <w:t>Trend follower with lag 1</w:t>
            </w:r>
          </w:p>
          <w:p w14:paraId="7F7E7480"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6</w:t>
            </w:r>
          </w:p>
          <w:p w14:paraId="3148576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12</w:t>
            </w:r>
          </w:p>
        </w:tc>
        <w:tc>
          <w:tcPr>
            <w:tcW w:w="4819" w:type="dxa"/>
            <w:vAlign w:val="center"/>
          </w:tcPr>
          <w:p w14:paraId="3F4EAD11"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Bond USD</w:t>
            </w:r>
          </w:p>
          <w:p w14:paraId="48522F0E" w14:textId="77777777" w:rsidR="00F20F54" w:rsidRPr="00CD6598"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Gold</w:t>
            </w:r>
          </w:p>
        </w:tc>
      </w:tr>
      <w:tr w:rsidR="00F20F54" w:rsidRPr="00E81CEF" w14:paraId="13DE8EBE" w14:textId="77777777" w:rsidTr="00F20F54">
        <w:trPr>
          <w:trHeight w:val="680"/>
        </w:trPr>
        <w:tc>
          <w:tcPr>
            <w:tcW w:w="2098" w:type="dxa"/>
            <w:vAlign w:val="center"/>
          </w:tcPr>
          <w:p w14:paraId="2E53E04E"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DAX</w:t>
            </w:r>
          </w:p>
        </w:tc>
        <w:tc>
          <w:tcPr>
            <w:tcW w:w="3298" w:type="dxa"/>
            <w:vAlign w:val="center"/>
          </w:tcPr>
          <w:p w14:paraId="62D0DB7D" w14:textId="77777777" w:rsidR="00F20F54" w:rsidRDefault="00F20F54" w:rsidP="00F20F54">
            <w:pPr>
              <w:jc w:val="center"/>
              <w:rPr>
                <w:rFonts w:ascii="Times New Roman" w:eastAsia="Times New Roman" w:hAnsi="Times New Roman"/>
                <w:sz w:val="18"/>
                <w:szCs w:val="18"/>
                <w:lang w:val="en-US"/>
              </w:rPr>
            </w:pPr>
            <w:r w:rsidRPr="005F28D9">
              <w:rPr>
                <w:rFonts w:ascii="Times New Roman" w:eastAsia="Times New Roman" w:hAnsi="Times New Roman"/>
                <w:sz w:val="18"/>
                <w:szCs w:val="18"/>
                <w:lang w:val="en-US"/>
              </w:rPr>
              <w:t>Trend follow</w:t>
            </w:r>
            <w:r>
              <w:rPr>
                <w:rFonts w:ascii="Times New Roman" w:eastAsia="Times New Roman" w:hAnsi="Times New Roman"/>
                <w:sz w:val="18"/>
                <w:szCs w:val="18"/>
                <w:lang w:val="en-US"/>
              </w:rPr>
              <w:t>er with lag 1</w:t>
            </w:r>
          </w:p>
          <w:p w14:paraId="01812B5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12</w:t>
            </w:r>
          </w:p>
        </w:tc>
        <w:tc>
          <w:tcPr>
            <w:tcW w:w="4819" w:type="dxa"/>
            <w:vAlign w:val="center"/>
          </w:tcPr>
          <w:p w14:paraId="536990A3" w14:textId="77777777" w:rsidR="00F20F54" w:rsidRPr="00211CEE" w:rsidRDefault="00F20F54" w:rsidP="00F20F54">
            <w:pPr>
              <w:jc w:val="center"/>
              <w:rPr>
                <w:rFonts w:ascii="Times New Roman" w:eastAsia="Times New Roman" w:hAnsi="Times New Roman"/>
                <w:sz w:val="18"/>
                <w:szCs w:val="18"/>
                <w:lang w:val="en-US"/>
              </w:rPr>
            </w:pPr>
            <w:r w:rsidRPr="00211CEE">
              <w:rPr>
                <w:rFonts w:ascii="Times New Roman" w:eastAsia="Times New Roman" w:hAnsi="Times New Roman"/>
                <w:sz w:val="18"/>
                <w:szCs w:val="18"/>
                <w:lang w:val="en-US"/>
              </w:rPr>
              <w:t>Input Oil</w:t>
            </w:r>
          </w:p>
        </w:tc>
      </w:tr>
      <w:tr w:rsidR="00F20F54" w:rsidRPr="00CB5776" w14:paraId="5D3CA7EF" w14:textId="77777777" w:rsidTr="00F20F54">
        <w:trPr>
          <w:trHeight w:val="680"/>
        </w:trPr>
        <w:tc>
          <w:tcPr>
            <w:tcW w:w="2098" w:type="dxa"/>
            <w:vAlign w:val="center"/>
          </w:tcPr>
          <w:p w14:paraId="5C16BF93"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Nikkei 225</w:t>
            </w:r>
          </w:p>
        </w:tc>
        <w:tc>
          <w:tcPr>
            <w:tcW w:w="3298" w:type="dxa"/>
            <w:vAlign w:val="center"/>
          </w:tcPr>
          <w:p w14:paraId="6FC05F37" w14:textId="77777777" w:rsidR="00F20F54" w:rsidRDefault="00F20F54" w:rsidP="00F20F54">
            <w:pPr>
              <w:jc w:val="center"/>
              <w:rPr>
                <w:rFonts w:ascii="Times New Roman" w:eastAsia="Times New Roman" w:hAnsi="Times New Roman"/>
                <w:sz w:val="18"/>
                <w:szCs w:val="18"/>
                <w:lang w:val="en-US"/>
              </w:rPr>
            </w:pPr>
            <w:r w:rsidRPr="005F28D9">
              <w:rPr>
                <w:rFonts w:ascii="Times New Roman" w:eastAsia="Times New Roman" w:hAnsi="Times New Roman"/>
                <w:sz w:val="18"/>
                <w:szCs w:val="18"/>
                <w:lang w:val="en-US"/>
              </w:rPr>
              <w:t>Trend follower with lag 1</w:t>
            </w:r>
          </w:p>
          <w:p w14:paraId="4211A1A3"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6</w:t>
            </w:r>
          </w:p>
        </w:tc>
        <w:tc>
          <w:tcPr>
            <w:tcW w:w="4819" w:type="dxa"/>
            <w:vAlign w:val="center"/>
          </w:tcPr>
          <w:p w14:paraId="3972D058"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EURCHF</w:t>
            </w:r>
          </w:p>
          <w:p w14:paraId="04AF898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Oil</w:t>
            </w:r>
          </w:p>
        </w:tc>
      </w:tr>
      <w:tr w:rsidR="00F20F54" w:rsidRPr="001A584E" w14:paraId="5E516846" w14:textId="77777777" w:rsidTr="00F20F54">
        <w:trPr>
          <w:trHeight w:val="680"/>
        </w:trPr>
        <w:tc>
          <w:tcPr>
            <w:tcW w:w="2098" w:type="dxa"/>
            <w:vAlign w:val="center"/>
          </w:tcPr>
          <w:p w14:paraId="7B036120"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SPI</w:t>
            </w:r>
          </w:p>
        </w:tc>
        <w:tc>
          <w:tcPr>
            <w:tcW w:w="3298" w:type="dxa"/>
            <w:vAlign w:val="center"/>
          </w:tcPr>
          <w:p w14:paraId="4BB1F8A4" w14:textId="77777777" w:rsidR="00F20F54" w:rsidRDefault="00F20F54" w:rsidP="00F20F54">
            <w:pPr>
              <w:jc w:val="center"/>
              <w:rPr>
                <w:rFonts w:ascii="Times New Roman" w:eastAsia="Times New Roman" w:hAnsi="Times New Roman"/>
                <w:sz w:val="18"/>
                <w:szCs w:val="18"/>
                <w:lang w:val="en-US"/>
              </w:rPr>
            </w:pPr>
            <w:r w:rsidRPr="005F28D9">
              <w:rPr>
                <w:rFonts w:ascii="Times New Roman" w:eastAsia="Times New Roman" w:hAnsi="Times New Roman"/>
                <w:sz w:val="18"/>
                <w:szCs w:val="18"/>
                <w:lang w:val="en-US"/>
              </w:rPr>
              <w:t>Trend follow</w:t>
            </w:r>
            <w:r>
              <w:rPr>
                <w:rFonts w:ascii="Times New Roman" w:eastAsia="Times New Roman" w:hAnsi="Times New Roman"/>
                <w:sz w:val="18"/>
                <w:szCs w:val="18"/>
                <w:lang w:val="en-US"/>
              </w:rPr>
              <w:t>er with lag 1</w:t>
            </w:r>
          </w:p>
          <w:p w14:paraId="059C9AB3"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6</w:t>
            </w:r>
          </w:p>
          <w:p w14:paraId="63E786D0"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12</w:t>
            </w:r>
          </w:p>
        </w:tc>
        <w:tc>
          <w:tcPr>
            <w:tcW w:w="4819" w:type="dxa"/>
            <w:vAlign w:val="center"/>
          </w:tcPr>
          <w:p w14:paraId="442BC5D5"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EURCHF</w:t>
            </w:r>
          </w:p>
        </w:tc>
      </w:tr>
      <w:tr w:rsidR="00F20F54" w:rsidRPr="001A584E" w14:paraId="40DBB715" w14:textId="77777777" w:rsidTr="00F20F54">
        <w:trPr>
          <w:trHeight w:val="680"/>
        </w:trPr>
        <w:tc>
          <w:tcPr>
            <w:tcW w:w="2098" w:type="dxa"/>
            <w:vAlign w:val="center"/>
          </w:tcPr>
          <w:p w14:paraId="741A34D8"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Gold</w:t>
            </w:r>
          </w:p>
        </w:tc>
        <w:tc>
          <w:tcPr>
            <w:tcW w:w="3298" w:type="dxa"/>
            <w:vAlign w:val="center"/>
          </w:tcPr>
          <w:p w14:paraId="2C6A467E"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6</w:t>
            </w:r>
          </w:p>
          <w:p w14:paraId="041F2BB7"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12</w:t>
            </w:r>
          </w:p>
        </w:tc>
        <w:tc>
          <w:tcPr>
            <w:tcW w:w="4819" w:type="dxa"/>
            <w:vAlign w:val="center"/>
          </w:tcPr>
          <w:p w14:paraId="3ADCBA16" w14:textId="77777777" w:rsidR="00F20F54" w:rsidRPr="002E04DE" w:rsidRDefault="00F20F54" w:rsidP="00F20F54">
            <w:pPr>
              <w:jc w:val="center"/>
              <w:rPr>
                <w:rFonts w:ascii="Times New Roman" w:eastAsia="Times New Roman" w:hAnsi="Times New Roman"/>
                <w:sz w:val="18"/>
                <w:szCs w:val="18"/>
                <w:lang w:val="en-US"/>
              </w:rPr>
            </w:pPr>
          </w:p>
        </w:tc>
      </w:tr>
      <w:tr w:rsidR="00F20F54" w:rsidRPr="001A584E" w14:paraId="520B5E48" w14:textId="77777777" w:rsidTr="00F20F54">
        <w:trPr>
          <w:trHeight w:val="680"/>
        </w:trPr>
        <w:tc>
          <w:tcPr>
            <w:tcW w:w="2098" w:type="dxa"/>
            <w:vAlign w:val="center"/>
          </w:tcPr>
          <w:p w14:paraId="480B7958"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Oil</w:t>
            </w:r>
          </w:p>
        </w:tc>
        <w:tc>
          <w:tcPr>
            <w:tcW w:w="3298" w:type="dxa"/>
            <w:vAlign w:val="center"/>
          </w:tcPr>
          <w:p w14:paraId="7B3B0134"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3</w:t>
            </w:r>
          </w:p>
          <w:p w14:paraId="21AA18B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Trend follower with lag 6</w:t>
            </w:r>
          </w:p>
        </w:tc>
        <w:tc>
          <w:tcPr>
            <w:tcW w:w="4819" w:type="dxa"/>
            <w:vAlign w:val="center"/>
          </w:tcPr>
          <w:p w14:paraId="1583AD0E" w14:textId="77777777" w:rsidR="00F20F54"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EURUSD</w:t>
            </w:r>
          </w:p>
          <w:p w14:paraId="7792B3D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Input Gold</w:t>
            </w:r>
          </w:p>
        </w:tc>
      </w:tr>
      <w:tr w:rsidR="00F20F54" w:rsidRPr="00CB5776" w14:paraId="6905AE02" w14:textId="77777777" w:rsidTr="00F20F54">
        <w:trPr>
          <w:trHeight w:val="454"/>
        </w:trPr>
        <w:tc>
          <w:tcPr>
            <w:tcW w:w="10215" w:type="dxa"/>
            <w:gridSpan w:val="3"/>
            <w:vAlign w:val="center"/>
          </w:tcPr>
          <w:p w14:paraId="192CDC21" w14:textId="77777777" w:rsidR="00F20F54" w:rsidRPr="0037794B" w:rsidRDefault="00F20F54" w:rsidP="00F20F54">
            <w:pPr>
              <w:autoSpaceDE w:val="0"/>
              <w:autoSpaceDN w:val="0"/>
              <w:adjustRightInd w:val="0"/>
              <w:spacing w:before="120" w:after="120"/>
              <w:ind w:left="-85"/>
              <w:jc w:val="both"/>
              <w:rPr>
                <w:rFonts w:ascii="Times New Roman" w:hAnsi="Times New Roman"/>
                <w:sz w:val="18"/>
                <w:szCs w:val="18"/>
                <w:lang w:val="en-US"/>
              </w:rPr>
            </w:pPr>
            <w:r>
              <w:rPr>
                <w:rFonts w:ascii="Times New Roman" w:hAnsi="Times New Roman"/>
                <w:sz w:val="18"/>
                <w:szCs w:val="18"/>
                <w:lang w:val="en-US"/>
              </w:rPr>
              <w:t>This table give an overview of the used agents. The trend follower decide on the time series itself with a certain time lag. The fundamentalist compares the value to the traded time series with the value of the input time series.</w:t>
            </w:r>
          </w:p>
        </w:tc>
      </w:tr>
    </w:tbl>
    <w:p w14:paraId="0F2F63D5" w14:textId="0B277971" w:rsidR="00F20F54" w:rsidRPr="00F20F54" w:rsidRDefault="00F20F54" w:rsidP="00F20F54">
      <w:pPr>
        <w:jc w:val="both"/>
        <w:rPr>
          <w:rFonts w:ascii="Arial" w:hAnsi="Arial" w:cs="Arial"/>
          <w:lang w:val="en-US"/>
        </w:rPr>
      </w:pPr>
      <w:r w:rsidRPr="00F20F54">
        <w:rPr>
          <w:rFonts w:ascii="Arial" w:hAnsi="Arial" w:cs="Arial"/>
          <w:lang w:val="en-US"/>
        </w:rPr>
        <w:t xml:space="preserve"> </w:t>
      </w:r>
    </w:p>
    <w:p w14:paraId="2815A5BE" w14:textId="77777777" w:rsidR="00F20F54" w:rsidRPr="00F20F54" w:rsidRDefault="00F20F54" w:rsidP="00F20F54">
      <w:pPr>
        <w:jc w:val="both"/>
        <w:rPr>
          <w:rFonts w:ascii="Arial" w:hAnsi="Arial" w:cs="Arial"/>
          <w:lang w:val="en-US"/>
        </w:rPr>
      </w:pPr>
    </w:p>
    <w:p w14:paraId="618428D0" w14:textId="77777777" w:rsidR="00F20F54" w:rsidRPr="00F20F54" w:rsidRDefault="00F20F54" w:rsidP="00F20F54">
      <w:pPr>
        <w:jc w:val="both"/>
        <w:rPr>
          <w:rFonts w:ascii="Arial" w:hAnsi="Arial" w:cs="Arial"/>
          <w:lang w:val="en-US"/>
        </w:rPr>
      </w:pPr>
      <w:r w:rsidRPr="00F20F54">
        <w:rPr>
          <w:rFonts w:ascii="Arial" w:hAnsi="Arial" w:cs="Arial"/>
          <w:lang w:val="en-US"/>
        </w:rPr>
        <w:t>There are different agents for every market with different trading profiles, trading rules and home currencies. The agents are simple reactive agents in the present model who use past prices as input to their trading decision before executing their output, which is an order they place in the order book in every trading cycle. They do not have any information about the behavior of the other agents in the model except for the (past) price movements of different assets.</w:t>
      </w:r>
    </w:p>
    <w:p w14:paraId="261E95A5" w14:textId="77777777" w:rsidR="00F20F54" w:rsidRPr="00F20F54" w:rsidRDefault="00F20F54" w:rsidP="00F20F54">
      <w:pPr>
        <w:jc w:val="both"/>
        <w:rPr>
          <w:rFonts w:ascii="Arial" w:hAnsi="Arial" w:cs="Arial"/>
          <w:lang w:val="en-US"/>
        </w:rPr>
      </w:pPr>
    </w:p>
    <w:p w14:paraId="7E5FABDC" w14:textId="77777777" w:rsidR="00F20F54" w:rsidRPr="00F20F54" w:rsidRDefault="00F20F54" w:rsidP="00F20F54">
      <w:pPr>
        <w:jc w:val="both"/>
        <w:rPr>
          <w:rFonts w:ascii="Arial" w:hAnsi="Arial" w:cs="Arial"/>
          <w:lang w:val="en-US"/>
        </w:rPr>
      </w:pPr>
      <w:r w:rsidRPr="00F20F54">
        <w:rPr>
          <w:rFonts w:ascii="Arial" w:hAnsi="Arial" w:cs="Arial"/>
          <w:lang w:val="en-US"/>
        </w:rPr>
        <w:lastRenderedPageBreak/>
        <w:t>The Fed’s QE actions are implemented by including an additional central bank agent buying assets. The Figure 1 shows the timeline of its QE actions and the total outstanding volume of the Fed transactions.</w:t>
      </w:r>
    </w:p>
    <w:p w14:paraId="37511DB8" w14:textId="77777777" w:rsidR="00F20F54" w:rsidRPr="00F20F54" w:rsidRDefault="00F20F54" w:rsidP="00F20F54">
      <w:pPr>
        <w:jc w:val="both"/>
        <w:rPr>
          <w:rFonts w:ascii="Arial" w:hAnsi="Arial" w:cs="Arial"/>
          <w:lang w:val="en-US"/>
        </w:rPr>
      </w:pPr>
    </w:p>
    <w:p w14:paraId="3F7C89AE" w14:textId="77777777" w:rsidR="00035BF5" w:rsidRDefault="00035BF5" w:rsidP="00035BF5">
      <w:pPr>
        <w:rPr>
          <w:rFonts w:ascii="Times New Roman" w:hAnsi="Times New Roman"/>
          <w:lang w:val="en-US"/>
        </w:rPr>
      </w:pPr>
      <w:r w:rsidRPr="00475F34">
        <w:rPr>
          <w:rFonts w:ascii="Times New Roman" w:hAnsi="Times New Roman"/>
          <w:lang w:val="en-US"/>
        </w:rPr>
        <w:t xml:space="preserve">Fed </w:t>
      </w:r>
      <w:r>
        <w:rPr>
          <w:rFonts w:ascii="Times New Roman" w:hAnsi="Times New Roman"/>
          <w:lang w:val="en-US"/>
        </w:rPr>
        <w:t>Quantitative Easing</w:t>
      </w:r>
    </w:p>
    <w:p w14:paraId="27BAA730" w14:textId="77777777" w:rsidR="00035BF5" w:rsidRDefault="00035BF5" w:rsidP="00035BF5">
      <w:pPr>
        <w:rPr>
          <w:rFonts w:ascii="Times New Roman" w:hAnsi="Times New Roman"/>
          <w:lang w:val="en-US"/>
        </w:rPr>
      </w:pPr>
      <w:r>
        <w:rPr>
          <w:rFonts w:ascii="Times New Roman" w:hAnsi="Times New Roman"/>
          <w:noProof/>
          <w:lang w:val="en-US" w:eastAsia="en-US"/>
        </w:rPr>
        <w:drawing>
          <wp:inline distT="0" distB="0" distL="0" distR="0" wp14:anchorId="766A7073" wp14:editId="6C68E9E1">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EACA126" w14:textId="77777777" w:rsidR="00035BF5" w:rsidRPr="00475F34" w:rsidRDefault="00035BF5" w:rsidP="00035BF5">
      <w:pPr>
        <w:rPr>
          <w:rFonts w:ascii="Times New Roman" w:hAnsi="Times New Roman"/>
          <w:b/>
          <w:sz w:val="18"/>
          <w:szCs w:val="18"/>
          <w:lang w:val="en-US"/>
        </w:rPr>
      </w:pPr>
      <w:r w:rsidRPr="00A63208">
        <w:rPr>
          <w:rFonts w:ascii="Times New Roman" w:hAnsi="Times New Roman"/>
          <w:b/>
          <w:i/>
          <w:sz w:val="18"/>
          <w:szCs w:val="18"/>
          <w:lang w:val="en-US"/>
        </w:rPr>
        <w:t>Figure 1.</w:t>
      </w:r>
      <w:r w:rsidRPr="00475F34">
        <w:rPr>
          <w:rFonts w:ascii="Times New Roman" w:hAnsi="Times New Roman"/>
          <w:b/>
          <w:sz w:val="18"/>
          <w:szCs w:val="18"/>
          <w:lang w:val="en-US"/>
        </w:rPr>
        <w:t xml:space="preserve"> Fed Quantitative Easing Actions</w:t>
      </w:r>
    </w:p>
    <w:p w14:paraId="7FAEF7EE" w14:textId="77777777" w:rsidR="00035BF5" w:rsidRPr="00475F34" w:rsidRDefault="00035BF5" w:rsidP="00035BF5">
      <w:pPr>
        <w:rPr>
          <w:rFonts w:ascii="Times New Roman" w:hAnsi="Times New Roman"/>
          <w:sz w:val="18"/>
          <w:szCs w:val="18"/>
          <w:lang w:val="en-US"/>
        </w:rPr>
      </w:pPr>
      <w:r w:rsidRPr="00475F34">
        <w:rPr>
          <w:rFonts w:ascii="Times New Roman" w:hAnsi="Times New Roman"/>
          <w:sz w:val="18"/>
          <w:szCs w:val="18"/>
          <w:lang w:val="en-US"/>
        </w:rPr>
        <w:t>This figure shows Fed Quantitative Easing monthly actions and the total volume of the actions between 2008 and 2014.</w:t>
      </w:r>
    </w:p>
    <w:p w14:paraId="6BA99B3F" w14:textId="06229692" w:rsidR="00F20F54" w:rsidRPr="00F20F54" w:rsidRDefault="00035BF5" w:rsidP="00F20F54">
      <w:pPr>
        <w:jc w:val="both"/>
        <w:rPr>
          <w:rFonts w:ascii="Arial" w:hAnsi="Arial" w:cs="Arial"/>
          <w:lang w:val="en-US"/>
        </w:rPr>
      </w:pPr>
      <w:r w:rsidRPr="00F20F54">
        <w:rPr>
          <w:rFonts w:ascii="Arial" w:hAnsi="Arial" w:cs="Arial"/>
          <w:lang w:val="en-US"/>
        </w:rPr>
        <w:t xml:space="preserve"> </w:t>
      </w:r>
    </w:p>
    <w:p w14:paraId="64B5AAF5" w14:textId="77777777" w:rsidR="00F20F54" w:rsidRPr="00F20F54" w:rsidRDefault="00F20F54" w:rsidP="00F20F54">
      <w:pPr>
        <w:jc w:val="both"/>
        <w:rPr>
          <w:rFonts w:ascii="Arial" w:hAnsi="Arial" w:cs="Arial"/>
          <w:lang w:val="en-US"/>
        </w:rPr>
      </w:pPr>
      <w:r w:rsidRPr="00F20F54">
        <w:rPr>
          <w:rFonts w:ascii="Arial" w:hAnsi="Arial" w:cs="Arial"/>
          <w:lang w:val="en-US"/>
        </w:rPr>
        <w:t>Based on this timeline the Fed agent is buying the different asset classes.</w:t>
      </w:r>
    </w:p>
    <w:p w14:paraId="61F494A2" w14:textId="77777777" w:rsidR="00F20F54" w:rsidRPr="00F20F54" w:rsidRDefault="00F20F54" w:rsidP="00F20F54">
      <w:pPr>
        <w:jc w:val="both"/>
        <w:rPr>
          <w:rFonts w:ascii="Arial" w:hAnsi="Arial" w:cs="Arial"/>
          <w:lang w:val="en-US"/>
        </w:rPr>
      </w:pPr>
    </w:p>
    <w:p w14:paraId="7EF704C2"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The results outlined in Table 2 clearly show that our “basic” model captures well the global market developments during the sample period considered. </w:t>
      </w:r>
    </w:p>
    <w:p w14:paraId="16CBEF81" w14:textId="77777777" w:rsidR="00F20F54" w:rsidRDefault="00F20F54" w:rsidP="00F20F54">
      <w:pPr>
        <w:rPr>
          <w:rFonts w:ascii="Times New Roman" w:hAnsi="Times New Roman"/>
          <w:lang w:val="en-US"/>
        </w:rPr>
      </w:pPr>
    </w:p>
    <w:tbl>
      <w:tblPr>
        <w:tblW w:w="10215"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3299"/>
        <w:gridCol w:w="4767"/>
        <w:gridCol w:w="54"/>
      </w:tblGrid>
      <w:tr w:rsidR="00F20F54" w:rsidRPr="00CB5776" w14:paraId="7F97F217" w14:textId="77777777" w:rsidTr="00F20F54">
        <w:trPr>
          <w:gridAfter w:val="1"/>
          <w:wAfter w:w="54" w:type="dxa"/>
          <w:cantSplit/>
          <w:trHeight w:val="283"/>
        </w:trPr>
        <w:tc>
          <w:tcPr>
            <w:tcW w:w="10161" w:type="dxa"/>
            <w:gridSpan w:val="3"/>
            <w:tcBorders>
              <w:top w:val="nil"/>
              <w:left w:val="nil"/>
              <w:bottom w:val="single" w:sz="8" w:space="0" w:color="000000"/>
              <w:right w:val="nil"/>
            </w:tcBorders>
            <w:vAlign w:val="center"/>
          </w:tcPr>
          <w:p w14:paraId="28AFE95A" w14:textId="77777777" w:rsidR="00F20F54" w:rsidRPr="0037794B" w:rsidRDefault="00F20F54" w:rsidP="00F20F54">
            <w:pPr>
              <w:spacing w:before="120" w:line="360" w:lineRule="auto"/>
              <w:ind w:left="-85"/>
              <w:jc w:val="both"/>
              <w:rPr>
                <w:rFonts w:ascii="Times New Roman" w:eastAsia="Times New Roman" w:hAnsi="Times New Roman"/>
                <w:b/>
                <w:i/>
                <w:sz w:val="18"/>
                <w:szCs w:val="18"/>
                <w:lang w:val="en-US"/>
              </w:rPr>
            </w:pPr>
            <w:r>
              <w:rPr>
                <w:rFonts w:ascii="Times New Roman" w:eastAsia="Times New Roman" w:hAnsi="Times New Roman"/>
                <w:b/>
                <w:i/>
                <w:sz w:val="18"/>
                <w:szCs w:val="18"/>
                <w:lang w:val="en-US"/>
              </w:rPr>
              <w:t>Table 2</w:t>
            </w:r>
            <w:r w:rsidRPr="0037794B">
              <w:rPr>
                <w:rFonts w:ascii="Times New Roman" w:eastAsia="Times New Roman" w:hAnsi="Times New Roman"/>
                <w:b/>
                <w:i/>
                <w:sz w:val="18"/>
                <w:szCs w:val="18"/>
                <w:lang w:val="en-US"/>
              </w:rPr>
              <w:t>.</w:t>
            </w:r>
            <w:r w:rsidRPr="00C3392B">
              <w:rPr>
                <w:rFonts w:ascii="Times New Roman" w:eastAsia="Times New Roman" w:hAnsi="Times New Roman"/>
                <w:b/>
                <w:i/>
                <w:sz w:val="18"/>
                <w:szCs w:val="18"/>
                <w:lang w:val="en-US"/>
              </w:rPr>
              <w:t xml:space="preserve"> </w:t>
            </w:r>
            <w:r>
              <w:rPr>
                <w:rFonts w:ascii="Times New Roman" w:eastAsia="Times New Roman" w:hAnsi="Times New Roman"/>
                <w:b/>
                <w:i/>
                <w:sz w:val="18"/>
                <w:szCs w:val="18"/>
                <w:lang w:val="en-US"/>
              </w:rPr>
              <w:t>Performance Results of the original agent-based Model</w:t>
            </w:r>
          </w:p>
        </w:tc>
      </w:tr>
      <w:tr w:rsidR="00F20F54" w:rsidRPr="00FB50C9" w14:paraId="3C12DF0E" w14:textId="77777777" w:rsidTr="00F20F54">
        <w:trPr>
          <w:trHeight w:val="567"/>
        </w:trPr>
        <w:tc>
          <w:tcPr>
            <w:tcW w:w="2095" w:type="dxa"/>
            <w:tcBorders>
              <w:left w:val="nil"/>
              <w:right w:val="nil"/>
            </w:tcBorders>
            <w:vAlign w:val="center"/>
          </w:tcPr>
          <w:p w14:paraId="032F58BE"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Market</w:t>
            </w:r>
          </w:p>
        </w:tc>
        <w:tc>
          <w:tcPr>
            <w:tcW w:w="3299" w:type="dxa"/>
            <w:tcBorders>
              <w:left w:val="nil"/>
              <w:right w:val="nil"/>
            </w:tcBorders>
            <w:vAlign w:val="center"/>
          </w:tcPr>
          <w:p w14:paraId="4A6C1237"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Hit Rate</w:t>
            </w:r>
          </w:p>
        </w:tc>
        <w:tc>
          <w:tcPr>
            <w:tcW w:w="4821" w:type="dxa"/>
            <w:gridSpan w:val="2"/>
            <w:tcBorders>
              <w:left w:val="nil"/>
              <w:right w:val="nil"/>
            </w:tcBorders>
            <w:vAlign w:val="center"/>
          </w:tcPr>
          <w:p w14:paraId="2F03B3BB"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Model Efficiency</w:t>
            </w:r>
          </w:p>
        </w:tc>
      </w:tr>
      <w:tr w:rsidR="00F20F54" w:rsidRPr="002E04DE" w14:paraId="67A5B956" w14:textId="77777777" w:rsidTr="00F20F54">
        <w:trPr>
          <w:trHeight w:val="680"/>
        </w:trPr>
        <w:tc>
          <w:tcPr>
            <w:tcW w:w="2095" w:type="dxa"/>
            <w:tcBorders>
              <w:top w:val="nil"/>
              <w:left w:val="nil"/>
              <w:bottom w:val="nil"/>
              <w:right w:val="nil"/>
            </w:tcBorders>
            <w:vAlign w:val="center"/>
          </w:tcPr>
          <w:p w14:paraId="3B03F8EC"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EURUSD</w:t>
            </w:r>
          </w:p>
        </w:tc>
        <w:tc>
          <w:tcPr>
            <w:tcW w:w="3299" w:type="dxa"/>
            <w:tcBorders>
              <w:top w:val="nil"/>
              <w:left w:val="nil"/>
              <w:bottom w:val="nil"/>
              <w:right w:val="nil"/>
            </w:tcBorders>
            <w:vAlign w:val="center"/>
          </w:tcPr>
          <w:p w14:paraId="2271519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55.8</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7054289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18.7</w:t>
            </w:r>
            <w:r w:rsidRPr="002E04DE">
              <w:rPr>
                <w:rFonts w:ascii="Times New Roman" w:eastAsia="Times New Roman" w:hAnsi="Times New Roman"/>
                <w:sz w:val="18"/>
                <w:szCs w:val="18"/>
                <w:lang w:val="en-US"/>
              </w:rPr>
              <w:t>%</w:t>
            </w:r>
          </w:p>
        </w:tc>
      </w:tr>
      <w:tr w:rsidR="00F20F54" w:rsidRPr="002E04DE" w14:paraId="101A81C6" w14:textId="77777777" w:rsidTr="00F20F54">
        <w:trPr>
          <w:trHeight w:val="680"/>
        </w:trPr>
        <w:tc>
          <w:tcPr>
            <w:tcW w:w="2095" w:type="dxa"/>
            <w:tcBorders>
              <w:top w:val="nil"/>
              <w:left w:val="nil"/>
              <w:bottom w:val="nil"/>
              <w:right w:val="nil"/>
            </w:tcBorders>
            <w:vAlign w:val="center"/>
          </w:tcPr>
          <w:p w14:paraId="5BC416F2"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YENUSD</w:t>
            </w:r>
          </w:p>
        </w:tc>
        <w:tc>
          <w:tcPr>
            <w:tcW w:w="3299" w:type="dxa"/>
            <w:tcBorders>
              <w:top w:val="nil"/>
              <w:left w:val="nil"/>
              <w:bottom w:val="nil"/>
              <w:right w:val="nil"/>
            </w:tcBorders>
            <w:vAlign w:val="center"/>
          </w:tcPr>
          <w:p w14:paraId="0CB121A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56.5</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0265A293"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18.8.</w:t>
            </w:r>
            <w:r w:rsidRPr="002E04DE">
              <w:rPr>
                <w:rFonts w:ascii="Times New Roman" w:eastAsia="Times New Roman" w:hAnsi="Times New Roman"/>
                <w:sz w:val="18"/>
                <w:szCs w:val="18"/>
                <w:lang w:val="en-US"/>
              </w:rPr>
              <w:t>%</w:t>
            </w:r>
          </w:p>
        </w:tc>
      </w:tr>
      <w:tr w:rsidR="00F20F54" w:rsidRPr="002E04DE" w14:paraId="40C8D6BB" w14:textId="77777777" w:rsidTr="00F20F54">
        <w:trPr>
          <w:trHeight w:val="680"/>
        </w:trPr>
        <w:tc>
          <w:tcPr>
            <w:tcW w:w="2095" w:type="dxa"/>
            <w:tcBorders>
              <w:top w:val="nil"/>
              <w:left w:val="nil"/>
              <w:bottom w:val="nil"/>
              <w:right w:val="nil"/>
            </w:tcBorders>
            <w:vAlign w:val="center"/>
          </w:tcPr>
          <w:p w14:paraId="63F14E64"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EURCHF</w:t>
            </w:r>
          </w:p>
        </w:tc>
        <w:tc>
          <w:tcPr>
            <w:tcW w:w="3299" w:type="dxa"/>
            <w:tcBorders>
              <w:top w:val="nil"/>
              <w:left w:val="nil"/>
              <w:bottom w:val="nil"/>
              <w:right w:val="nil"/>
            </w:tcBorders>
            <w:vAlign w:val="center"/>
          </w:tcPr>
          <w:p w14:paraId="3B592B6B"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51.4</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66E38096"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6.9</w:t>
            </w:r>
            <w:r w:rsidRPr="002E04DE">
              <w:rPr>
                <w:rFonts w:ascii="Times New Roman" w:eastAsia="Times New Roman" w:hAnsi="Times New Roman"/>
                <w:sz w:val="18"/>
                <w:szCs w:val="18"/>
                <w:lang w:val="en-US"/>
              </w:rPr>
              <w:t>%</w:t>
            </w:r>
          </w:p>
        </w:tc>
      </w:tr>
      <w:tr w:rsidR="00F20F54" w:rsidRPr="002E04DE" w14:paraId="52F5A6C5" w14:textId="77777777" w:rsidTr="00F20F54">
        <w:trPr>
          <w:trHeight w:val="680"/>
        </w:trPr>
        <w:tc>
          <w:tcPr>
            <w:tcW w:w="2095" w:type="dxa"/>
            <w:tcBorders>
              <w:top w:val="nil"/>
              <w:left w:val="nil"/>
              <w:bottom w:val="nil"/>
              <w:right w:val="nil"/>
            </w:tcBorders>
            <w:vAlign w:val="center"/>
          </w:tcPr>
          <w:p w14:paraId="73E28E69"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USD</w:t>
            </w:r>
          </w:p>
        </w:tc>
        <w:tc>
          <w:tcPr>
            <w:tcW w:w="3299" w:type="dxa"/>
            <w:tcBorders>
              <w:top w:val="nil"/>
              <w:left w:val="nil"/>
              <w:bottom w:val="nil"/>
              <w:right w:val="nil"/>
            </w:tcBorders>
            <w:vAlign w:val="center"/>
          </w:tcPr>
          <w:p w14:paraId="557E411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65.0</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6794CFD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32.6%</w:t>
            </w:r>
          </w:p>
        </w:tc>
      </w:tr>
      <w:tr w:rsidR="00F20F54" w:rsidRPr="002E04DE" w14:paraId="10100252" w14:textId="77777777" w:rsidTr="00F20F54">
        <w:trPr>
          <w:trHeight w:val="680"/>
        </w:trPr>
        <w:tc>
          <w:tcPr>
            <w:tcW w:w="2095" w:type="dxa"/>
            <w:tcBorders>
              <w:top w:val="nil"/>
              <w:left w:val="nil"/>
              <w:bottom w:val="nil"/>
              <w:right w:val="nil"/>
            </w:tcBorders>
            <w:vAlign w:val="center"/>
          </w:tcPr>
          <w:p w14:paraId="350BBA98"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EUR</w:t>
            </w:r>
          </w:p>
        </w:tc>
        <w:tc>
          <w:tcPr>
            <w:tcW w:w="3299" w:type="dxa"/>
            <w:tcBorders>
              <w:top w:val="nil"/>
              <w:left w:val="nil"/>
              <w:bottom w:val="nil"/>
              <w:right w:val="nil"/>
            </w:tcBorders>
            <w:vAlign w:val="center"/>
          </w:tcPr>
          <w:p w14:paraId="1E0229B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63.4</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5406484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36.0</w:t>
            </w:r>
            <w:r w:rsidRPr="002E04DE">
              <w:rPr>
                <w:rFonts w:ascii="Times New Roman" w:eastAsia="Times New Roman" w:hAnsi="Times New Roman"/>
                <w:sz w:val="18"/>
                <w:szCs w:val="18"/>
                <w:lang w:val="en-US"/>
              </w:rPr>
              <w:t>%</w:t>
            </w:r>
          </w:p>
        </w:tc>
      </w:tr>
      <w:tr w:rsidR="00F20F54" w:rsidRPr="002E04DE" w14:paraId="452F6167" w14:textId="77777777" w:rsidTr="00F20F54">
        <w:trPr>
          <w:trHeight w:val="680"/>
        </w:trPr>
        <w:tc>
          <w:tcPr>
            <w:tcW w:w="2095" w:type="dxa"/>
            <w:tcBorders>
              <w:top w:val="nil"/>
              <w:left w:val="nil"/>
              <w:bottom w:val="nil"/>
              <w:right w:val="nil"/>
            </w:tcBorders>
            <w:vAlign w:val="center"/>
          </w:tcPr>
          <w:p w14:paraId="5135C98C"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YEN</w:t>
            </w:r>
          </w:p>
        </w:tc>
        <w:tc>
          <w:tcPr>
            <w:tcW w:w="3299" w:type="dxa"/>
            <w:tcBorders>
              <w:top w:val="nil"/>
              <w:left w:val="nil"/>
              <w:bottom w:val="nil"/>
              <w:right w:val="nil"/>
            </w:tcBorders>
            <w:vAlign w:val="center"/>
          </w:tcPr>
          <w:p w14:paraId="1781DDD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62.1%</w:t>
            </w:r>
          </w:p>
        </w:tc>
        <w:tc>
          <w:tcPr>
            <w:tcW w:w="4821" w:type="dxa"/>
            <w:gridSpan w:val="2"/>
            <w:tcBorders>
              <w:top w:val="nil"/>
              <w:left w:val="nil"/>
              <w:bottom w:val="nil"/>
              <w:right w:val="nil"/>
            </w:tcBorders>
            <w:vAlign w:val="center"/>
          </w:tcPr>
          <w:p w14:paraId="6C279295"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33.0%</w:t>
            </w:r>
          </w:p>
        </w:tc>
      </w:tr>
      <w:tr w:rsidR="00F20F54" w:rsidRPr="002E04DE" w14:paraId="27D70339" w14:textId="77777777" w:rsidTr="00F20F54">
        <w:trPr>
          <w:trHeight w:val="680"/>
        </w:trPr>
        <w:tc>
          <w:tcPr>
            <w:tcW w:w="2095" w:type="dxa"/>
            <w:tcBorders>
              <w:top w:val="nil"/>
              <w:left w:val="nil"/>
              <w:bottom w:val="nil"/>
              <w:right w:val="nil"/>
            </w:tcBorders>
            <w:vAlign w:val="center"/>
          </w:tcPr>
          <w:p w14:paraId="45B88F40"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CHF</w:t>
            </w:r>
          </w:p>
        </w:tc>
        <w:tc>
          <w:tcPr>
            <w:tcW w:w="3299" w:type="dxa"/>
            <w:tcBorders>
              <w:top w:val="nil"/>
              <w:left w:val="nil"/>
              <w:bottom w:val="nil"/>
              <w:right w:val="nil"/>
            </w:tcBorders>
            <w:vAlign w:val="center"/>
          </w:tcPr>
          <w:p w14:paraId="545C5421"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62.9%</w:t>
            </w:r>
          </w:p>
        </w:tc>
        <w:tc>
          <w:tcPr>
            <w:tcW w:w="4821" w:type="dxa"/>
            <w:gridSpan w:val="2"/>
            <w:tcBorders>
              <w:top w:val="nil"/>
              <w:left w:val="nil"/>
              <w:bottom w:val="nil"/>
              <w:right w:val="nil"/>
            </w:tcBorders>
            <w:vAlign w:val="center"/>
          </w:tcPr>
          <w:p w14:paraId="7514539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35.9%</w:t>
            </w:r>
          </w:p>
        </w:tc>
      </w:tr>
      <w:tr w:rsidR="00F20F54" w:rsidRPr="002E04DE" w14:paraId="65E05D55" w14:textId="77777777" w:rsidTr="00F20F54">
        <w:trPr>
          <w:trHeight w:val="680"/>
        </w:trPr>
        <w:tc>
          <w:tcPr>
            <w:tcW w:w="2095" w:type="dxa"/>
            <w:tcBorders>
              <w:top w:val="nil"/>
              <w:left w:val="nil"/>
              <w:bottom w:val="nil"/>
              <w:right w:val="nil"/>
            </w:tcBorders>
            <w:vAlign w:val="center"/>
          </w:tcPr>
          <w:p w14:paraId="7EA36CDB"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S&amp;P 500</w:t>
            </w:r>
          </w:p>
        </w:tc>
        <w:tc>
          <w:tcPr>
            <w:tcW w:w="3299" w:type="dxa"/>
            <w:tcBorders>
              <w:top w:val="nil"/>
              <w:left w:val="nil"/>
              <w:bottom w:val="nil"/>
              <w:right w:val="nil"/>
            </w:tcBorders>
            <w:vAlign w:val="center"/>
          </w:tcPr>
          <w:p w14:paraId="5E9414E1"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59.1%</w:t>
            </w:r>
          </w:p>
        </w:tc>
        <w:tc>
          <w:tcPr>
            <w:tcW w:w="4821" w:type="dxa"/>
            <w:gridSpan w:val="2"/>
            <w:tcBorders>
              <w:top w:val="nil"/>
              <w:left w:val="nil"/>
              <w:bottom w:val="nil"/>
              <w:right w:val="nil"/>
            </w:tcBorders>
            <w:vAlign w:val="center"/>
          </w:tcPr>
          <w:p w14:paraId="71F1D75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22.6%</w:t>
            </w:r>
          </w:p>
        </w:tc>
      </w:tr>
      <w:tr w:rsidR="00F20F54" w:rsidRPr="002E04DE" w14:paraId="01E404ED" w14:textId="77777777" w:rsidTr="00F20F54">
        <w:trPr>
          <w:trHeight w:val="680"/>
        </w:trPr>
        <w:tc>
          <w:tcPr>
            <w:tcW w:w="2095" w:type="dxa"/>
            <w:tcBorders>
              <w:top w:val="nil"/>
              <w:left w:val="nil"/>
              <w:bottom w:val="nil"/>
              <w:right w:val="nil"/>
            </w:tcBorders>
            <w:vAlign w:val="center"/>
          </w:tcPr>
          <w:p w14:paraId="6B696F9A"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lastRenderedPageBreak/>
              <w:t>DAX</w:t>
            </w:r>
          </w:p>
        </w:tc>
        <w:tc>
          <w:tcPr>
            <w:tcW w:w="3299" w:type="dxa"/>
            <w:tcBorders>
              <w:top w:val="nil"/>
              <w:left w:val="nil"/>
              <w:bottom w:val="nil"/>
              <w:right w:val="nil"/>
            </w:tcBorders>
            <w:vAlign w:val="center"/>
          </w:tcPr>
          <w:p w14:paraId="46EB4C1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58.1%</w:t>
            </w:r>
          </w:p>
        </w:tc>
        <w:tc>
          <w:tcPr>
            <w:tcW w:w="4821" w:type="dxa"/>
            <w:gridSpan w:val="2"/>
            <w:tcBorders>
              <w:top w:val="nil"/>
              <w:left w:val="nil"/>
              <w:bottom w:val="nil"/>
              <w:right w:val="nil"/>
            </w:tcBorders>
            <w:vAlign w:val="center"/>
          </w:tcPr>
          <w:p w14:paraId="4BD33D50"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22.3%</w:t>
            </w:r>
          </w:p>
        </w:tc>
      </w:tr>
      <w:tr w:rsidR="00F20F54" w:rsidRPr="002E04DE" w14:paraId="3F590175" w14:textId="77777777" w:rsidTr="00F20F54">
        <w:trPr>
          <w:trHeight w:val="680"/>
        </w:trPr>
        <w:tc>
          <w:tcPr>
            <w:tcW w:w="2095" w:type="dxa"/>
            <w:tcBorders>
              <w:top w:val="nil"/>
              <w:left w:val="nil"/>
              <w:bottom w:val="nil"/>
              <w:right w:val="nil"/>
            </w:tcBorders>
            <w:vAlign w:val="center"/>
          </w:tcPr>
          <w:p w14:paraId="239DA9ED"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Nikkei 225</w:t>
            </w:r>
          </w:p>
        </w:tc>
        <w:tc>
          <w:tcPr>
            <w:tcW w:w="3299" w:type="dxa"/>
            <w:tcBorders>
              <w:top w:val="nil"/>
              <w:left w:val="nil"/>
              <w:bottom w:val="nil"/>
              <w:right w:val="nil"/>
            </w:tcBorders>
            <w:vAlign w:val="center"/>
          </w:tcPr>
          <w:p w14:paraId="728CBAEB"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48.8%</w:t>
            </w:r>
          </w:p>
        </w:tc>
        <w:tc>
          <w:tcPr>
            <w:tcW w:w="4821" w:type="dxa"/>
            <w:gridSpan w:val="2"/>
            <w:tcBorders>
              <w:top w:val="nil"/>
              <w:left w:val="nil"/>
              <w:bottom w:val="nil"/>
              <w:right w:val="nil"/>
            </w:tcBorders>
            <w:vAlign w:val="center"/>
          </w:tcPr>
          <w:p w14:paraId="1BEBC7B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13.4%</w:t>
            </w:r>
          </w:p>
        </w:tc>
      </w:tr>
      <w:tr w:rsidR="00F20F54" w:rsidRPr="002E04DE" w14:paraId="2EDCAC2C" w14:textId="77777777" w:rsidTr="00F20F54">
        <w:trPr>
          <w:trHeight w:val="680"/>
        </w:trPr>
        <w:tc>
          <w:tcPr>
            <w:tcW w:w="2095" w:type="dxa"/>
            <w:tcBorders>
              <w:top w:val="nil"/>
              <w:left w:val="nil"/>
              <w:bottom w:val="nil"/>
              <w:right w:val="nil"/>
            </w:tcBorders>
            <w:vAlign w:val="center"/>
          </w:tcPr>
          <w:p w14:paraId="5499C0C4"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SPI</w:t>
            </w:r>
          </w:p>
        </w:tc>
        <w:tc>
          <w:tcPr>
            <w:tcW w:w="3299" w:type="dxa"/>
            <w:tcBorders>
              <w:top w:val="nil"/>
              <w:left w:val="nil"/>
              <w:bottom w:val="nil"/>
              <w:right w:val="nil"/>
            </w:tcBorders>
            <w:vAlign w:val="center"/>
          </w:tcPr>
          <w:p w14:paraId="2985022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61.9%</w:t>
            </w:r>
          </w:p>
        </w:tc>
        <w:tc>
          <w:tcPr>
            <w:tcW w:w="4821" w:type="dxa"/>
            <w:gridSpan w:val="2"/>
            <w:tcBorders>
              <w:top w:val="nil"/>
              <w:left w:val="nil"/>
              <w:bottom w:val="nil"/>
              <w:right w:val="nil"/>
            </w:tcBorders>
            <w:vAlign w:val="center"/>
          </w:tcPr>
          <w:p w14:paraId="6EB19CE3"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28.1%</w:t>
            </w:r>
          </w:p>
        </w:tc>
      </w:tr>
      <w:tr w:rsidR="00F20F54" w:rsidRPr="002E04DE" w14:paraId="160F2D5F" w14:textId="77777777" w:rsidTr="00F20F54">
        <w:trPr>
          <w:trHeight w:val="680"/>
        </w:trPr>
        <w:tc>
          <w:tcPr>
            <w:tcW w:w="2095" w:type="dxa"/>
            <w:tcBorders>
              <w:top w:val="nil"/>
              <w:left w:val="nil"/>
              <w:bottom w:val="nil"/>
              <w:right w:val="nil"/>
            </w:tcBorders>
            <w:vAlign w:val="center"/>
          </w:tcPr>
          <w:p w14:paraId="62C5E9A0"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Gold</w:t>
            </w:r>
          </w:p>
        </w:tc>
        <w:tc>
          <w:tcPr>
            <w:tcW w:w="3299" w:type="dxa"/>
            <w:tcBorders>
              <w:top w:val="nil"/>
              <w:left w:val="nil"/>
              <w:bottom w:val="nil"/>
              <w:right w:val="nil"/>
            </w:tcBorders>
            <w:vAlign w:val="center"/>
          </w:tcPr>
          <w:p w14:paraId="5DA09091"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52.2%</w:t>
            </w:r>
          </w:p>
        </w:tc>
        <w:tc>
          <w:tcPr>
            <w:tcW w:w="4821" w:type="dxa"/>
            <w:gridSpan w:val="2"/>
            <w:tcBorders>
              <w:top w:val="nil"/>
              <w:left w:val="nil"/>
              <w:bottom w:val="nil"/>
              <w:right w:val="nil"/>
            </w:tcBorders>
            <w:vAlign w:val="center"/>
          </w:tcPr>
          <w:p w14:paraId="73D6E4A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16.9%</w:t>
            </w:r>
          </w:p>
        </w:tc>
      </w:tr>
      <w:tr w:rsidR="00F20F54" w:rsidRPr="002E04DE" w14:paraId="51A2F905" w14:textId="77777777" w:rsidTr="00F20F54">
        <w:trPr>
          <w:trHeight w:val="680"/>
        </w:trPr>
        <w:tc>
          <w:tcPr>
            <w:tcW w:w="2095" w:type="dxa"/>
            <w:tcBorders>
              <w:top w:val="nil"/>
              <w:left w:val="nil"/>
              <w:bottom w:val="nil"/>
              <w:right w:val="nil"/>
            </w:tcBorders>
            <w:vAlign w:val="center"/>
          </w:tcPr>
          <w:p w14:paraId="5F4C404B"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Oil</w:t>
            </w:r>
          </w:p>
        </w:tc>
        <w:tc>
          <w:tcPr>
            <w:tcW w:w="3299" w:type="dxa"/>
            <w:tcBorders>
              <w:top w:val="nil"/>
              <w:left w:val="nil"/>
              <w:bottom w:val="nil"/>
              <w:right w:val="nil"/>
            </w:tcBorders>
            <w:vAlign w:val="center"/>
          </w:tcPr>
          <w:p w14:paraId="0B4B7296"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52.9%</w:t>
            </w:r>
          </w:p>
        </w:tc>
        <w:tc>
          <w:tcPr>
            <w:tcW w:w="4821" w:type="dxa"/>
            <w:gridSpan w:val="2"/>
            <w:tcBorders>
              <w:top w:val="nil"/>
              <w:left w:val="nil"/>
              <w:bottom w:val="nil"/>
              <w:right w:val="nil"/>
            </w:tcBorders>
            <w:vAlign w:val="center"/>
          </w:tcPr>
          <w:p w14:paraId="6877A933"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15.7%</w:t>
            </w:r>
          </w:p>
        </w:tc>
      </w:tr>
      <w:tr w:rsidR="00F20F54" w:rsidRPr="00CB5776" w14:paraId="27350215" w14:textId="77777777" w:rsidTr="00F20F54">
        <w:trPr>
          <w:gridAfter w:val="1"/>
          <w:wAfter w:w="54" w:type="dxa"/>
          <w:cantSplit/>
          <w:trHeight w:val="454"/>
        </w:trPr>
        <w:tc>
          <w:tcPr>
            <w:tcW w:w="10161" w:type="dxa"/>
            <w:gridSpan w:val="3"/>
            <w:tcBorders>
              <w:top w:val="single" w:sz="8" w:space="0" w:color="000000"/>
              <w:left w:val="nil"/>
              <w:bottom w:val="nil"/>
              <w:right w:val="nil"/>
            </w:tcBorders>
            <w:vAlign w:val="center"/>
          </w:tcPr>
          <w:p w14:paraId="74381971" w14:textId="77777777" w:rsidR="00F20F54" w:rsidRPr="0037794B" w:rsidRDefault="00F20F54" w:rsidP="00F20F54">
            <w:pPr>
              <w:autoSpaceDE w:val="0"/>
              <w:autoSpaceDN w:val="0"/>
              <w:adjustRightInd w:val="0"/>
              <w:spacing w:before="120" w:after="120"/>
              <w:ind w:left="-85"/>
              <w:jc w:val="both"/>
              <w:rPr>
                <w:rFonts w:ascii="Times New Roman" w:hAnsi="Times New Roman"/>
                <w:sz w:val="18"/>
                <w:szCs w:val="18"/>
                <w:lang w:val="en-US"/>
              </w:rPr>
            </w:pPr>
            <w:r w:rsidRPr="0037794B">
              <w:rPr>
                <w:rFonts w:ascii="Times New Roman" w:hAnsi="Times New Roman"/>
                <w:sz w:val="18"/>
                <w:szCs w:val="18"/>
                <w:lang w:val="en-US"/>
              </w:rPr>
              <w:t xml:space="preserve">This </w:t>
            </w:r>
            <w:r>
              <w:rPr>
                <w:rFonts w:ascii="Times New Roman" w:hAnsi="Times New Roman"/>
                <w:sz w:val="18"/>
                <w:szCs w:val="18"/>
                <w:lang w:val="en-US"/>
              </w:rPr>
              <w:t>table reports empirical results</w:t>
            </w:r>
            <w:r w:rsidRPr="0037794B">
              <w:rPr>
                <w:rFonts w:ascii="Times New Roman" w:hAnsi="Times New Roman"/>
                <w:sz w:val="18"/>
                <w:szCs w:val="18"/>
                <w:lang w:val="en-US"/>
              </w:rPr>
              <w:t xml:space="preserve"> for monthly </w:t>
            </w:r>
            <w:r>
              <w:rPr>
                <w:rFonts w:ascii="Times New Roman" w:hAnsi="Times New Roman"/>
                <w:sz w:val="18"/>
                <w:szCs w:val="18"/>
                <w:lang w:val="en-US"/>
              </w:rPr>
              <w:t xml:space="preserve">data. </w:t>
            </w:r>
            <w:r w:rsidRPr="0037794B">
              <w:rPr>
                <w:rFonts w:ascii="Times New Roman" w:hAnsi="Times New Roman"/>
                <w:sz w:val="18"/>
                <w:szCs w:val="18"/>
                <w:lang w:val="en-US"/>
              </w:rPr>
              <w:t>The samp</w:t>
            </w:r>
            <w:r>
              <w:rPr>
                <w:rFonts w:ascii="Times New Roman" w:hAnsi="Times New Roman"/>
                <w:sz w:val="18"/>
                <w:szCs w:val="18"/>
                <w:lang w:val="en-US"/>
              </w:rPr>
              <w:t>le period runs from January 1982 to September 2014.</w:t>
            </w:r>
          </w:p>
        </w:tc>
      </w:tr>
    </w:tbl>
    <w:p w14:paraId="16F6AA3A" w14:textId="77777777" w:rsidR="00F20F54" w:rsidRPr="00F20F54" w:rsidRDefault="00F20F54" w:rsidP="00F20F54">
      <w:pPr>
        <w:jc w:val="both"/>
        <w:rPr>
          <w:rFonts w:ascii="Arial" w:hAnsi="Arial" w:cs="Arial"/>
          <w:lang w:val="en-US"/>
        </w:rPr>
      </w:pPr>
    </w:p>
    <w:p w14:paraId="0128D196" w14:textId="34AD0401" w:rsidR="00F20F54" w:rsidRDefault="00F20F54" w:rsidP="00F20F54">
      <w:pPr>
        <w:jc w:val="both"/>
        <w:rPr>
          <w:rFonts w:ascii="Arial" w:hAnsi="Arial" w:cs="Arial"/>
          <w:lang w:val="en-US"/>
        </w:rPr>
      </w:pPr>
      <w:r w:rsidRPr="00F20F54">
        <w:rPr>
          <w:rFonts w:ascii="Arial" w:hAnsi="Arial" w:cs="Arial"/>
          <w:lang w:val="en-US"/>
        </w:rPr>
        <w:t>Building up on this, Table 3 shows the results of the ABM that includes the Fed and their respective QE actions. It can clearly be seen that their actions improve the overall model results. The Fed’s QE has an impact on the markets for currencies and stocks. Surprisingly, it does not affect the bond markets. Our model therefore shows that QE measures undertaken in the United States have produced asset bubbles in the stock markets.</w:t>
      </w:r>
    </w:p>
    <w:p w14:paraId="15FD1FEB" w14:textId="4A32F280" w:rsidR="00F20F54" w:rsidRDefault="00F20F54" w:rsidP="00F20F54">
      <w:pPr>
        <w:jc w:val="both"/>
        <w:rPr>
          <w:rFonts w:ascii="Arial" w:hAnsi="Arial" w:cs="Arial"/>
          <w:lang w:val="en-US"/>
        </w:rPr>
      </w:pPr>
    </w:p>
    <w:tbl>
      <w:tblPr>
        <w:tblW w:w="10215"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5"/>
        <w:gridCol w:w="3299"/>
        <w:gridCol w:w="4767"/>
        <w:gridCol w:w="54"/>
      </w:tblGrid>
      <w:tr w:rsidR="00F20F54" w:rsidRPr="0037794B" w14:paraId="3CC92DE9" w14:textId="77777777" w:rsidTr="00F20F54">
        <w:trPr>
          <w:gridAfter w:val="1"/>
          <w:wAfter w:w="54" w:type="dxa"/>
          <w:cantSplit/>
          <w:trHeight w:val="283"/>
        </w:trPr>
        <w:tc>
          <w:tcPr>
            <w:tcW w:w="10161" w:type="dxa"/>
            <w:gridSpan w:val="3"/>
            <w:tcBorders>
              <w:top w:val="nil"/>
              <w:left w:val="nil"/>
              <w:bottom w:val="single" w:sz="8" w:space="0" w:color="000000"/>
              <w:right w:val="nil"/>
            </w:tcBorders>
            <w:vAlign w:val="center"/>
          </w:tcPr>
          <w:p w14:paraId="5843D181" w14:textId="77777777" w:rsidR="00F20F54" w:rsidRPr="0037794B" w:rsidRDefault="00F20F54" w:rsidP="00F20F54">
            <w:pPr>
              <w:spacing w:before="120" w:line="360" w:lineRule="auto"/>
              <w:ind w:left="-85"/>
              <w:jc w:val="both"/>
              <w:rPr>
                <w:rFonts w:ascii="Times New Roman" w:eastAsia="Times New Roman" w:hAnsi="Times New Roman"/>
                <w:b/>
                <w:i/>
                <w:sz w:val="18"/>
                <w:szCs w:val="18"/>
                <w:lang w:val="en-US"/>
              </w:rPr>
            </w:pPr>
            <w:r>
              <w:rPr>
                <w:rFonts w:ascii="Times New Roman" w:eastAsia="Times New Roman" w:hAnsi="Times New Roman"/>
                <w:b/>
                <w:i/>
                <w:sz w:val="18"/>
                <w:szCs w:val="18"/>
                <w:lang w:val="en-US"/>
              </w:rPr>
              <w:t>Table 3</w:t>
            </w:r>
            <w:r w:rsidRPr="00C3392B">
              <w:rPr>
                <w:rFonts w:ascii="Times New Roman" w:eastAsia="Times New Roman" w:hAnsi="Times New Roman"/>
                <w:b/>
                <w:i/>
                <w:sz w:val="18"/>
                <w:szCs w:val="18"/>
                <w:lang w:val="en-US"/>
              </w:rPr>
              <w:t xml:space="preserve"> </w:t>
            </w:r>
            <w:r>
              <w:rPr>
                <w:rFonts w:ascii="Times New Roman" w:eastAsia="Times New Roman" w:hAnsi="Times New Roman"/>
                <w:b/>
                <w:i/>
                <w:sz w:val="18"/>
                <w:szCs w:val="18"/>
                <w:lang w:val="en-US"/>
              </w:rPr>
              <w:t>Performance Results of  agent-based Model with the Fed as agent</w:t>
            </w:r>
          </w:p>
        </w:tc>
      </w:tr>
      <w:tr w:rsidR="00F20F54" w:rsidRPr="002E04DE" w14:paraId="25D5C752" w14:textId="77777777" w:rsidTr="00F20F54">
        <w:trPr>
          <w:trHeight w:val="567"/>
        </w:trPr>
        <w:tc>
          <w:tcPr>
            <w:tcW w:w="2095" w:type="dxa"/>
            <w:tcBorders>
              <w:left w:val="nil"/>
              <w:right w:val="nil"/>
            </w:tcBorders>
            <w:vAlign w:val="center"/>
          </w:tcPr>
          <w:p w14:paraId="0CF31AA4"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Market</w:t>
            </w:r>
          </w:p>
        </w:tc>
        <w:tc>
          <w:tcPr>
            <w:tcW w:w="3299" w:type="dxa"/>
            <w:tcBorders>
              <w:left w:val="nil"/>
              <w:right w:val="nil"/>
            </w:tcBorders>
            <w:vAlign w:val="center"/>
          </w:tcPr>
          <w:p w14:paraId="6551B4A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Hit Rate</w:t>
            </w:r>
          </w:p>
        </w:tc>
        <w:tc>
          <w:tcPr>
            <w:tcW w:w="4821" w:type="dxa"/>
            <w:gridSpan w:val="2"/>
            <w:tcBorders>
              <w:left w:val="nil"/>
              <w:right w:val="nil"/>
            </w:tcBorders>
            <w:vAlign w:val="center"/>
          </w:tcPr>
          <w:p w14:paraId="0A8B876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Model Efficiency</w:t>
            </w:r>
          </w:p>
        </w:tc>
      </w:tr>
      <w:tr w:rsidR="00F20F54" w:rsidRPr="002E04DE" w14:paraId="65A7317F" w14:textId="77777777" w:rsidTr="00F20F54">
        <w:trPr>
          <w:trHeight w:val="680"/>
        </w:trPr>
        <w:tc>
          <w:tcPr>
            <w:tcW w:w="2095" w:type="dxa"/>
            <w:tcBorders>
              <w:top w:val="nil"/>
              <w:left w:val="nil"/>
              <w:bottom w:val="nil"/>
              <w:right w:val="nil"/>
            </w:tcBorders>
            <w:vAlign w:val="center"/>
          </w:tcPr>
          <w:p w14:paraId="154C4CEA"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EURUSD</w:t>
            </w:r>
          </w:p>
        </w:tc>
        <w:tc>
          <w:tcPr>
            <w:tcW w:w="3299" w:type="dxa"/>
            <w:tcBorders>
              <w:top w:val="nil"/>
              <w:left w:val="nil"/>
              <w:bottom w:val="nil"/>
              <w:right w:val="nil"/>
            </w:tcBorders>
            <w:vAlign w:val="center"/>
          </w:tcPr>
          <w:p w14:paraId="2B2F625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56.8</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53DD237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28.4</w:t>
            </w:r>
            <w:r w:rsidRPr="002E04DE">
              <w:rPr>
                <w:rFonts w:ascii="Times New Roman" w:eastAsia="Times New Roman" w:hAnsi="Times New Roman"/>
                <w:sz w:val="18"/>
                <w:szCs w:val="18"/>
                <w:lang w:val="en-US"/>
              </w:rPr>
              <w:t>%</w:t>
            </w:r>
          </w:p>
        </w:tc>
      </w:tr>
      <w:tr w:rsidR="00F20F54" w:rsidRPr="002E04DE" w14:paraId="574AF837" w14:textId="77777777" w:rsidTr="00F20F54">
        <w:trPr>
          <w:trHeight w:val="680"/>
        </w:trPr>
        <w:tc>
          <w:tcPr>
            <w:tcW w:w="2095" w:type="dxa"/>
            <w:tcBorders>
              <w:top w:val="nil"/>
              <w:left w:val="nil"/>
              <w:bottom w:val="nil"/>
              <w:right w:val="nil"/>
            </w:tcBorders>
            <w:vAlign w:val="center"/>
          </w:tcPr>
          <w:p w14:paraId="5A22D317"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YENUSD</w:t>
            </w:r>
          </w:p>
        </w:tc>
        <w:tc>
          <w:tcPr>
            <w:tcW w:w="3299" w:type="dxa"/>
            <w:tcBorders>
              <w:top w:val="nil"/>
              <w:left w:val="nil"/>
              <w:bottom w:val="nil"/>
              <w:right w:val="nil"/>
            </w:tcBorders>
            <w:vAlign w:val="center"/>
          </w:tcPr>
          <w:p w14:paraId="0509002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57.8</w:t>
            </w:r>
            <w:r w:rsidRPr="002E04DE">
              <w:rPr>
                <w:rFonts w:ascii="Times New Roman" w:eastAsia="Times New Roman" w:hAnsi="Times New Roman"/>
                <w:sz w:val="18"/>
                <w:szCs w:val="18"/>
                <w:lang w:val="en-US"/>
              </w:rPr>
              <w:t>%</w:t>
            </w:r>
          </w:p>
        </w:tc>
        <w:tc>
          <w:tcPr>
            <w:tcW w:w="4821" w:type="dxa"/>
            <w:gridSpan w:val="2"/>
            <w:tcBorders>
              <w:top w:val="nil"/>
              <w:left w:val="nil"/>
              <w:bottom w:val="nil"/>
              <w:right w:val="nil"/>
            </w:tcBorders>
            <w:vAlign w:val="center"/>
          </w:tcPr>
          <w:p w14:paraId="4557E076"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20.6</w:t>
            </w:r>
            <w:r w:rsidRPr="002E04DE">
              <w:rPr>
                <w:rFonts w:ascii="Times New Roman" w:eastAsia="Times New Roman" w:hAnsi="Times New Roman"/>
                <w:sz w:val="18"/>
                <w:szCs w:val="18"/>
                <w:lang w:val="en-US"/>
              </w:rPr>
              <w:t>%</w:t>
            </w:r>
          </w:p>
        </w:tc>
      </w:tr>
      <w:tr w:rsidR="00F20F54" w:rsidRPr="002E04DE" w14:paraId="4D4B42DA" w14:textId="77777777" w:rsidTr="00F20F54">
        <w:trPr>
          <w:trHeight w:val="680"/>
        </w:trPr>
        <w:tc>
          <w:tcPr>
            <w:tcW w:w="2095" w:type="dxa"/>
            <w:tcBorders>
              <w:top w:val="nil"/>
              <w:left w:val="nil"/>
              <w:bottom w:val="nil"/>
              <w:right w:val="nil"/>
            </w:tcBorders>
            <w:vAlign w:val="center"/>
          </w:tcPr>
          <w:p w14:paraId="72213EA7"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EURCHF</w:t>
            </w:r>
          </w:p>
        </w:tc>
        <w:tc>
          <w:tcPr>
            <w:tcW w:w="3299" w:type="dxa"/>
            <w:tcBorders>
              <w:top w:val="nil"/>
              <w:left w:val="nil"/>
              <w:bottom w:val="nil"/>
              <w:right w:val="nil"/>
            </w:tcBorders>
            <w:shd w:val="clear" w:color="auto" w:fill="FFFFFF" w:themeFill="background1"/>
            <w:vAlign w:val="center"/>
          </w:tcPr>
          <w:p w14:paraId="006D835C" w14:textId="77777777" w:rsidR="00F20F54" w:rsidRPr="00242427" w:rsidRDefault="00F20F54" w:rsidP="00F20F54">
            <w:pPr>
              <w:jc w:val="center"/>
              <w:rPr>
                <w:rFonts w:ascii="Times New Roman" w:eastAsia="Times New Roman" w:hAnsi="Times New Roman"/>
                <w:sz w:val="18"/>
                <w:szCs w:val="18"/>
                <w:lang w:val="en-US"/>
              </w:rPr>
            </w:pPr>
            <w:r w:rsidRPr="00242427">
              <w:rPr>
                <w:rFonts w:ascii="Times New Roman" w:eastAsia="Times New Roman" w:hAnsi="Times New Roman"/>
                <w:sz w:val="18"/>
                <w:szCs w:val="18"/>
                <w:lang w:val="en-US"/>
              </w:rPr>
              <w:t>51.4%</w:t>
            </w:r>
          </w:p>
        </w:tc>
        <w:tc>
          <w:tcPr>
            <w:tcW w:w="4821" w:type="dxa"/>
            <w:gridSpan w:val="2"/>
            <w:tcBorders>
              <w:top w:val="nil"/>
              <w:left w:val="nil"/>
              <w:bottom w:val="nil"/>
              <w:right w:val="nil"/>
            </w:tcBorders>
            <w:vAlign w:val="center"/>
          </w:tcPr>
          <w:p w14:paraId="0455091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6.9</w:t>
            </w:r>
            <w:r w:rsidRPr="002E04DE">
              <w:rPr>
                <w:rFonts w:ascii="Times New Roman" w:eastAsia="Times New Roman" w:hAnsi="Times New Roman"/>
                <w:sz w:val="18"/>
                <w:szCs w:val="18"/>
                <w:lang w:val="en-US"/>
              </w:rPr>
              <w:t>%</w:t>
            </w:r>
          </w:p>
        </w:tc>
      </w:tr>
      <w:tr w:rsidR="00F20F54" w:rsidRPr="002E04DE" w14:paraId="020DF99D" w14:textId="77777777" w:rsidTr="00F20F54">
        <w:trPr>
          <w:trHeight w:val="680"/>
        </w:trPr>
        <w:tc>
          <w:tcPr>
            <w:tcW w:w="2095" w:type="dxa"/>
            <w:tcBorders>
              <w:top w:val="nil"/>
              <w:left w:val="nil"/>
              <w:bottom w:val="nil"/>
              <w:right w:val="nil"/>
            </w:tcBorders>
            <w:vAlign w:val="center"/>
          </w:tcPr>
          <w:p w14:paraId="5B5075B3"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USD</w:t>
            </w:r>
          </w:p>
        </w:tc>
        <w:tc>
          <w:tcPr>
            <w:tcW w:w="3299" w:type="dxa"/>
            <w:tcBorders>
              <w:top w:val="nil"/>
              <w:left w:val="nil"/>
              <w:bottom w:val="nil"/>
              <w:right w:val="nil"/>
            </w:tcBorders>
            <w:shd w:val="clear" w:color="auto" w:fill="FFFFFF" w:themeFill="background1"/>
            <w:vAlign w:val="center"/>
          </w:tcPr>
          <w:p w14:paraId="38C04013" w14:textId="77777777" w:rsidR="00F20F54" w:rsidRPr="00242427" w:rsidRDefault="00F20F54" w:rsidP="00F20F54">
            <w:pPr>
              <w:jc w:val="center"/>
              <w:rPr>
                <w:rFonts w:ascii="Times New Roman" w:eastAsia="Times New Roman" w:hAnsi="Times New Roman"/>
                <w:sz w:val="18"/>
                <w:szCs w:val="18"/>
                <w:lang w:val="en-US"/>
              </w:rPr>
            </w:pPr>
            <w:r w:rsidRPr="00242427">
              <w:rPr>
                <w:rFonts w:ascii="Times New Roman" w:eastAsia="Times New Roman" w:hAnsi="Times New Roman"/>
                <w:sz w:val="18"/>
                <w:szCs w:val="18"/>
                <w:lang w:val="en-US"/>
              </w:rPr>
              <w:t>65.0%</w:t>
            </w:r>
          </w:p>
        </w:tc>
        <w:tc>
          <w:tcPr>
            <w:tcW w:w="4821" w:type="dxa"/>
            <w:gridSpan w:val="2"/>
            <w:tcBorders>
              <w:top w:val="nil"/>
              <w:left w:val="nil"/>
              <w:bottom w:val="nil"/>
              <w:right w:val="nil"/>
            </w:tcBorders>
            <w:vAlign w:val="center"/>
          </w:tcPr>
          <w:p w14:paraId="4266EFE5"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32.6%</w:t>
            </w:r>
          </w:p>
        </w:tc>
      </w:tr>
      <w:tr w:rsidR="00F20F54" w:rsidRPr="002E04DE" w14:paraId="7059A0A0" w14:textId="77777777" w:rsidTr="00F20F54">
        <w:trPr>
          <w:trHeight w:val="680"/>
        </w:trPr>
        <w:tc>
          <w:tcPr>
            <w:tcW w:w="2095" w:type="dxa"/>
            <w:tcBorders>
              <w:top w:val="nil"/>
              <w:left w:val="nil"/>
              <w:bottom w:val="nil"/>
              <w:right w:val="nil"/>
            </w:tcBorders>
            <w:vAlign w:val="center"/>
          </w:tcPr>
          <w:p w14:paraId="6D2DB235" w14:textId="77777777" w:rsidR="00F20F54" w:rsidRPr="002E04DE"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EUR</w:t>
            </w:r>
          </w:p>
        </w:tc>
        <w:tc>
          <w:tcPr>
            <w:tcW w:w="3299" w:type="dxa"/>
            <w:tcBorders>
              <w:top w:val="nil"/>
              <w:left w:val="nil"/>
              <w:bottom w:val="nil"/>
              <w:right w:val="nil"/>
            </w:tcBorders>
            <w:shd w:val="clear" w:color="auto" w:fill="FFFFFF" w:themeFill="background1"/>
            <w:vAlign w:val="center"/>
          </w:tcPr>
          <w:p w14:paraId="0D1A819D" w14:textId="77777777" w:rsidR="00F20F54" w:rsidRPr="00242427" w:rsidRDefault="00F20F54" w:rsidP="00F20F54">
            <w:pPr>
              <w:jc w:val="center"/>
              <w:rPr>
                <w:rFonts w:ascii="Times New Roman" w:eastAsia="Times New Roman" w:hAnsi="Times New Roman"/>
                <w:sz w:val="18"/>
                <w:szCs w:val="18"/>
                <w:lang w:val="en-US"/>
              </w:rPr>
            </w:pPr>
            <w:r w:rsidRPr="00242427">
              <w:rPr>
                <w:rFonts w:ascii="Times New Roman" w:eastAsia="Times New Roman" w:hAnsi="Times New Roman"/>
                <w:sz w:val="18"/>
                <w:szCs w:val="18"/>
                <w:lang w:val="en-US"/>
              </w:rPr>
              <w:t>63.4%</w:t>
            </w:r>
          </w:p>
        </w:tc>
        <w:tc>
          <w:tcPr>
            <w:tcW w:w="4821" w:type="dxa"/>
            <w:gridSpan w:val="2"/>
            <w:tcBorders>
              <w:top w:val="nil"/>
              <w:left w:val="nil"/>
              <w:bottom w:val="nil"/>
              <w:right w:val="nil"/>
            </w:tcBorders>
            <w:vAlign w:val="center"/>
          </w:tcPr>
          <w:p w14:paraId="4CEB0CD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36.0</w:t>
            </w:r>
            <w:r w:rsidRPr="002E04DE">
              <w:rPr>
                <w:rFonts w:ascii="Times New Roman" w:eastAsia="Times New Roman" w:hAnsi="Times New Roman"/>
                <w:sz w:val="18"/>
                <w:szCs w:val="18"/>
                <w:lang w:val="en-US"/>
              </w:rPr>
              <w:t>%</w:t>
            </w:r>
          </w:p>
        </w:tc>
      </w:tr>
      <w:tr w:rsidR="00F20F54" w:rsidRPr="002E04DE" w14:paraId="3BDC3A75" w14:textId="77777777" w:rsidTr="00F20F54">
        <w:trPr>
          <w:trHeight w:val="680"/>
        </w:trPr>
        <w:tc>
          <w:tcPr>
            <w:tcW w:w="2095" w:type="dxa"/>
            <w:tcBorders>
              <w:top w:val="nil"/>
              <w:left w:val="nil"/>
              <w:bottom w:val="nil"/>
              <w:right w:val="nil"/>
            </w:tcBorders>
            <w:vAlign w:val="center"/>
          </w:tcPr>
          <w:p w14:paraId="3973FD42"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YEN</w:t>
            </w:r>
          </w:p>
        </w:tc>
        <w:tc>
          <w:tcPr>
            <w:tcW w:w="3299" w:type="dxa"/>
            <w:tcBorders>
              <w:top w:val="nil"/>
              <w:left w:val="nil"/>
              <w:bottom w:val="nil"/>
              <w:right w:val="nil"/>
            </w:tcBorders>
            <w:shd w:val="clear" w:color="auto" w:fill="FFFFFF" w:themeFill="background1"/>
            <w:vAlign w:val="center"/>
          </w:tcPr>
          <w:p w14:paraId="31C78C71" w14:textId="77777777" w:rsidR="00F20F54" w:rsidRPr="00242427" w:rsidRDefault="00F20F54" w:rsidP="00F20F54">
            <w:pPr>
              <w:jc w:val="center"/>
              <w:rPr>
                <w:rFonts w:ascii="Times New Roman" w:eastAsia="Times New Roman" w:hAnsi="Times New Roman"/>
                <w:sz w:val="18"/>
                <w:szCs w:val="18"/>
                <w:lang w:val="en-US"/>
              </w:rPr>
            </w:pPr>
            <w:r w:rsidRPr="00242427">
              <w:rPr>
                <w:rFonts w:ascii="Times New Roman" w:eastAsia="Times New Roman" w:hAnsi="Times New Roman"/>
                <w:sz w:val="18"/>
                <w:szCs w:val="18"/>
                <w:lang w:val="en-US"/>
              </w:rPr>
              <w:t>62.1%</w:t>
            </w:r>
          </w:p>
        </w:tc>
        <w:tc>
          <w:tcPr>
            <w:tcW w:w="4821" w:type="dxa"/>
            <w:gridSpan w:val="2"/>
            <w:tcBorders>
              <w:top w:val="nil"/>
              <w:left w:val="nil"/>
              <w:bottom w:val="nil"/>
              <w:right w:val="nil"/>
            </w:tcBorders>
            <w:vAlign w:val="center"/>
          </w:tcPr>
          <w:p w14:paraId="4F639F1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33.0%</w:t>
            </w:r>
          </w:p>
        </w:tc>
      </w:tr>
      <w:tr w:rsidR="00F20F54" w:rsidRPr="002E04DE" w14:paraId="39E8EC4A" w14:textId="77777777" w:rsidTr="00F20F54">
        <w:trPr>
          <w:trHeight w:val="680"/>
        </w:trPr>
        <w:tc>
          <w:tcPr>
            <w:tcW w:w="2095" w:type="dxa"/>
            <w:tcBorders>
              <w:top w:val="nil"/>
              <w:left w:val="nil"/>
              <w:bottom w:val="nil"/>
              <w:right w:val="nil"/>
            </w:tcBorders>
            <w:vAlign w:val="center"/>
          </w:tcPr>
          <w:p w14:paraId="0ABB7E50"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Bond CHF</w:t>
            </w:r>
          </w:p>
        </w:tc>
        <w:tc>
          <w:tcPr>
            <w:tcW w:w="3299" w:type="dxa"/>
            <w:tcBorders>
              <w:top w:val="nil"/>
              <w:left w:val="nil"/>
              <w:bottom w:val="nil"/>
              <w:right w:val="nil"/>
            </w:tcBorders>
            <w:shd w:val="clear" w:color="auto" w:fill="FFFFFF" w:themeFill="background1"/>
            <w:vAlign w:val="center"/>
          </w:tcPr>
          <w:p w14:paraId="55E97470" w14:textId="77777777" w:rsidR="00F20F54" w:rsidRPr="00242427" w:rsidRDefault="00F20F54" w:rsidP="00F20F54">
            <w:pPr>
              <w:jc w:val="center"/>
              <w:rPr>
                <w:rFonts w:ascii="Times New Roman" w:eastAsia="Times New Roman" w:hAnsi="Times New Roman"/>
                <w:sz w:val="18"/>
                <w:szCs w:val="18"/>
                <w:lang w:val="en-US"/>
              </w:rPr>
            </w:pPr>
            <w:r w:rsidRPr="00242427">
              <w:rPr>
                <w:rFonts w:ascii="Times New Roman" w:eastAsia="Times New Roman" w:hAnsi="Times New Roman"/>
                <w:sz w:val="18"/>
                <w:szCs w:val="18"/>
                <w:lang w:val="en-US"/>
              </w:rPr>
              <w:t>62.9%</w:t>
            </w:r>
          </w:p>
        </w:tc>
        <w:tc>
          <w:tcPr>
            <w:tcW w:w="4821" w:type="dxa"/>
            <w:gridSpan w:val="2"/>
            <w:tcBorders>
              <w:top w:val="nil"/>
              <w:left w:val="nil"/>
              <w:bottom w:val="nil"/>
              <w:right w:val="nil"/>
            </w:tcBorders>
            <w:vAlign w:val="center"/>
          </w:tcPr>
          <w:p w14:paraId="7824E16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35.9%</w:t>
            </w:r>
          </w:p>
        </w:tc>
      </w:tr>
      <w:tr w:rsidR="00F20F54" w:rsidRPr="002E04DE" w14:paraId="5AA907AC" w14:textId="77777777" w:rsidTr="00F20F54">
        <w:trPr>
          <w:trHeight w:val="680"/>
        </w:trPr>
        <w:tc>
          <w:tcPr>
            <w:tcW w:w="2095" w:type="dxa"/>
            <w:tcBorders>
              <w:top w:val="nil"/>
              <w:left w:val="nil"/>
              <w:bottom w:val="nil"/>
              <w:right w:val="nil"/>
            </w:tcBorders>
            <w:vAlign w:val="center"/>
          </w:tcPr>
          <w:p w14:paraId="37BD96B2"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S&amp;P 500</w:t>
            </w:r>
          </w:p>
        </w:tc>
        <w:tc>
          <w:tcPr>
            <w:tcW w:w="3299" w:type="dxa"/>
            <w:tcBorders>
              <w:top w:val="nil"/>
              <w:left w:val="nil"/>
              <w:bottom w:val="nil"/>
              <w:right w:val="nil"/>
            </w:tcBorders>
            <w:vAlign w:val="center"/>
          </w:tcPr>
          <w:p w14:paraId="7F4AECE6"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60.1%</w:t>
            </w:r>
          </w:p>
        </w:tc>
        <w:tc>
          <w:tcPr>
            <w:tcW w:w="4821" w:type="dxa"/>
            <w:gridSpan w:val="2"/>
            <w:tcBorders>
              <w:top w:val="nil"/>
              <w:left w:val="nil"/>
              <w:bottom w:val="nil"/>
              <w:right w:val="nil"/>
            </w:tcBorders>
            <w:vAlign w:val="center"/>
          </w:tcPr>
          <w:p w14:paraId="786F2345"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26.4%</w:t>
            </w:r>
          </w:p>
        </w:tc>
      </w:tr>
      <w:tr w:rsidR="00F20F54" w:rsidRPr="002E04DE" w14:paraId="4838FFC3" w14:textId="77777777" w:rsidTr="00F20F54">
        <w:trPr>
          <w:trHeight w:val="680"/>
        </w:trPr>
        <w:tc>
          <w:tcPr>
            <w:tcW w:w="2095" w:type="dxa"/>
            <w:tcBorders>
              <w:top w:val="nil"/>
              <w:left w:val="nil"/>
              <w:bottom w:val="nil"/>
              <w:right w:val="nil"/>
            </w:tcBorders>
            <w:vAlign w:val="center"/>
          </w:tcPr>
          <w:p w14:paraId="21984A32"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DAX</w:t>
            </w:r>
          </w:p>
        </w:tc>
        <w:tc>
          <w:tcPr>
            <w:tcW w:w="3299" w:type="dxa"/>
            <w:tcBorders>
              <w:top w:val="nil"/>
              <w:left w:val="nil"/>
              <w:bottom w:val="nil"/>
              <w:right w:val="nil"/>
            </w:tcBorders>
            <w:vAlign w:val="center"/>
          </w:tcPr>
          <w:p w14:paraId="6A632B8A"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59.8%</w:t>
            </w:r>
          </w:p>
        </w:tc>
        <w:tc>
          <w:tcPr>
            <w:tcW w:w="4821" w:type="dxa"/>
            <w:gridSpan w:val="2"/>
            <w:tcBorders>
              <w:top w:val="nil"/>
              <w:left w:val="nil"/>
              <w:bottom w:val="nil"/>
              <w:right w:val="nil"/>
            </w:tcBorders>
            <w:vAlign w:val="center"/>
          </w:tcPr>
          <w:p w14:paraId="798A42FE"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29.2%</w:t>
            </w:r>
          </w:p>
        </w:tc>
      </w:tr>
      <w:tr w:rsidR="00F20F54" w:rsidRPr="002E04DE" w14:paraId="5284A488" w14:textId="77777777" w:rsidTr="00F20F54">
        <w:trPr>
          <w:trHeight w:val="680"/>
        </w:trPr>
        <w:tc>
          <w:tcPr>
            <w:tcW w:w="2095" w:type="dxa"/>
            <w:tcBorders>
              <w:top w:val="nil"/>
              <w:left w:val="nil"/>
              <w:bottom w:val="nil"/>
              <w:right w:val="nil"/>
            </w:tcBorders>
            <w:vAlign w:val="center"/>
          </w:tcPr>
          <w:p w14:paraId="4DB8AE7C"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Nikkei 225</w:t>
            </w:r>
          </w:p>
        </w:tc>
        <w:tc>
          <w:tcPr>
            <w:tcW w:w="3299" w:type="dxa"/>
            <w:tcBorders>
              <w:top w:val="nil"/>
              <w:left w:val="nil"/>
              <w:bottom w:val="nil"/>
              <w:right w:val="nil"/>
            </w:tcBorders>
            <w:vAlign w:val="center"/>
          </w:tcPr>
          <w:p w14:paraId="410AB24C"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51.4%</w:t>
            </w:r>
          </w:p>
        </w:tc>
        <w:tc>
          <w:tcPr>
            <w:tcW w:w="4821" w:type="dxa"/>
            <w:gridSpan w:val="2"/>
            <w:tcBorders>
              <w:top w:val="nil"/>
              <w:left w:val="nil"/>
              <w:bottom w:val="nil"/>
              <w:right w:val="nil"/>
            </w:tcBorders>
            <w:vAlign w:val="center"/>
          </w:tcPr>
          <w:p w14:paraId="5266F2F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18.0%</w:t>
            </w:r>
          </w:p>
        </w:tc>
      </w:tr>
      <w:tr w:rsidR="00F20F54" w:rsidRPr="002E04DE" w14:paraId="4946EE23" w14:textId="77777777" w:rsidTr="00F20F54">
        <w:trPr>
          <w:trHeight w:val="680"/>
        </w:trPr>
        <w:tc>
          <w:tcPr>
            <w:tcW w:w="2095" w:type="dxa"/>
            <w:tcBorders>
              <w:top w:val="nil"/>
              <w:left w:val="nil"/>
              <w:bottom w:val="nil"/>
              <w:right w:val="nil"/>
            </w:tcBorders>
            <w:vAlign w:val="center"/>
          </w:tcPr>
          <w:p w14:paraId="45A8E054"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lastRenderedPageBreak/>
              <w:t>SPI</w:t>
            </w:r>
          </w:p>
        </w:tc>
        <w:tc>
          <w:tcPr>
            <w:tcW w:w="3299" w:type="dxa"/>
            <w:tcBorders>
              <w:top w:val="nil"/>
              <w:left w:val="nil"/>
              <w:bottom w:val="nil"/>
              <w:right w:val="nil"/>
            </w:tcBorders>
            <w:vAlign w:val="center"/>
          </w:tcPr>
          <w:p w14:paraId="7AB2D81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62.4%</w:t>
            </w:r>
          </w:p>
        </w:tc>
        <w:tc>
          <w:tcPr>
            <w:tcW w:w="4821" w:type="dxa"/>
            <w:gridSpan w:val="2"/>
            <w:tcBorders>
              <w:top w:val="nil"/>
              <w:left w:val="nil"/>
              <w:bottom w:val="nil"/>
              <w:right w:val="nil"/>
            </w:tcBorders>
            <w:vAlign w:val="center"/>
          </w:tcPr>
          <w:p w14:paraId="3A181769"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30.8%</w:t>
            </w:r>
          </w:p>
        </w:tc>
      </w:tr>
      <w:tr w:rsidR="00F20F54" w:rsidRPr="002E04DE" w14:paraId="3FD47869" w14:textId="77777777" w:rsidTr="00F20F54">
        <w:trPr>
          <w:trHeight w:val="680"/>
        </w:trPr>
        <w:tc>
          <w:tcPr>
            <w:tcW w:w="2095" w:type="dxa"/>
            <w:tcBorders>
              <w:top w:val="nil"/>
              <w:left w:val="nil"/>
              <w:bottom w:val="nil"/>
              <w:right w:val="nil"/>
            </w:tcBorders>
            <w:vAlign w:val="center"/>
          </w:tcPr>
          <w:p w14:paraId="412A8A22"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Gold</w:t>
            </w:r>
          </w:p>
        </w:tc>
        <w:tc>
          <w:tcPr>
            <w:tcW w:w="3299" w:type="dxa"/>
            <w:tcBorders>
              <w:top w:val="nil"/>
              <w:left w:val="nil"/>
              <w:bottom w:val="nil"/>
              <w:right w:val="nil"/>
            </w:tcBorders>
            <w:vAlign w:val="center"/>
          </w:tcPr>
          <w:p w14:paraId="180216E4"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52.2%</w:t>
            </w:r>
          </w:p>
        </w:tc>
        <w:tc>
          <w:tcPr>
            <w:tcW w:w="4821" w:type="dxa"/>
            <w:gridSpan w:val="2"/>
            <w:tcBorders>
              <w:top w:val="nil"/>
              <w:left w:val="nil"/>
              <w:bottom w:val="nil"/>
              <w:right w:val="nil"/>
            </w:tcBorders>
            <w:vAlign w:val="center"/>
          </w:tcPr>
          <w:p w14:paraId="2334E8D2"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16.9%</w:t>
            </w:r>
          </w:p>
        </w:tc>
      </w:tr>
      <w:tr w:rsidR="00F20F54" w:rsidRPr="002E04DE" w14:paraId="0CCED698" w14:textId="77777777" w:rsidTr="00F20F54">
        <w:trPr>
          <w:trHeight w:val="680"/>
        </w:trPr>
        <w:tc>
          <w:tcPr>
            <w:tcW w:w="2095" w:type="dxa"/>
            <w:tcBorders>
              <w:top w:val="nil"/>
              <w:left w:val="nil"/>
              <w:bottom w:val="nil"/>
              <w:right w:val="nil"/>
            </w:tcBorders>
            <w:vAlign w:val="center"/>
          </w:tcPr>
          <w:p w14:paraId="551C2FDB" w14:textId="77777777" w:rsidR="00F20F54" w:rsidRDefault="00F20F54" w:rsidP="00F20F54">
            <w:pPr>
              <w:ind w:left="-57"/>
              <w:rPr>
                <w:rFonts w:ascii="Times New Roman" w:eastAsia="Times New Roman" w:hAnsi="Times New Roman"/>
                <w:sz w:val="18"/>
                <w:szCs w:val="18"/>
                <w:lang w:val="en-US"/>
              </w:rPr>
            </w:pPr>
            <w:r>
              <w:rPr>
                <w:rFonts w:ascii="Times New Roman" w:eastAsia="Times New Roman" w:hAnsi="Times New Roman"/>
                <w:sz w:val="18"/>
                <w:szCs w:val="18"/>
                <w:lang w:val="en-US"/>
              </w:rPr>
              <w:t>Oil</w:t>
            </w:r>
          </w:p>
        </w:tc>
        <w:tc>
          <w:tcPr>
            <w:tcW w:w="3299" w:type="dxa"/>
            <w:tcBorders>
              <w:top w:val="nil"/>
              <w:left w:val="nil"/>
              <w:bottom w:val="nil"/>
              <w:right w:val="nil"/>
            </w:tcBorders>
            <w:vAlign w:val="center"/>
          </w:tcPr>
          <w:p w14:paraId="3564CAFD"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52.9%</w:t>
            </w:r>
          </w:p>
        </w:tc>
        <w:tc>
          <w:tcPr>
            <w:tcW w:w="4821" w:type="dxa"/>
            <w:gridSpan w:val="2"/>
            <w:tcBorders>
              <w:top w:val="nil"/>
              <w:left w:val="nil"/>
              <w:bottom w:val="nil"/>
              <w:right w:val="nil"/>
            </w:tcBorders>
            <w:vAlign w:val="center"/>
          </w:tcPr>
          <w:p w14:paraId="76CC0AFF" w14:textId="77777777" w:rsidR="00F20F54" w:rsidRPr="002E04DE" w:rsidRDefault="00F20F54" w:rsidP="00F20F54">
            <w:pPr>
              <w:jc w:val="center"/>
              <w:rPr>
                <w:rFonts w:ascii="Times New Roman" w:eastAsia="Times New Roman" w:hAnsi="Times New Roman"/>
                <w:sz w:val="18"/>
                <w:szCs w:val="18"/>
                <w:lang w:val="en-US"/>
              </w:rPr>
            </w:pPr>
            <w:r>
              <w:rPr>
                <w:rFonts w:ascii="Times New Roman" w:eastAsia="Times New Roman" w:hAnsi="Times New Roman"/>
                <w:sz w:val="18"/>
                <w:szCs w:val="18"/>
                <w:lang w:val="en-US"/>
              </w:rPr>
              <w:t>15.7%</w:t>
            </w:r>
          </w:p>
        </w:tc>
      </w:tr>
      <w:tr w:rsidR="00F20F54" w:rsidRPr="0037794B" w14:paraId="297EFFD6" w14:textId="77777777" w:rsidTr="00F20F54">
        <w:trPr>
          <w:gridAfter w:val="1"/>
          <w:wAfter w:w="54" w:type="dxa"/>
          <w:cantSplit/>
          <w:trHeight w:val="454"/>
        </w:trPr>
        <w:tc>
          <w:tcPr>
            <w:tcW w:w="10161" w:type="dxa"/>
            <w:gridSpan w:val="3"/>
            <w:tcBorders>
              <w:top w:val="single" w:sz="8" w:space="0" w:color="000000"/>
              <w:left w:val="nil"/>
              <w:bottom w:val="nil"/>
              <w:right w:val="nil"/>
            </w:tcBorders>
            <w:vAlign w:val="center"/>
          </w:tcPr>
          <w:p w14:paraId="760B45BB" w14:textId="77777777" w:rsidR="00F20F54" w:rsidRPr="0037794B" w:rsidRDefault="00F20F54" w:rsidP="00F20F54">
            <w:pPr>
              <w:autoSpaceDE w:val="0"/>
              <w:autoSpaceDN w:val="0"/>
              <w:adjustRightInd w:val="0"/>
              <w:spacing w:before="120" w:after="120"/>
              <w:ind w:left="-85"/>
              <w:jc w:val="both"/>
              <w:rPr>
                <w:rFonts w:ascii="Times New Roman" w:hAnsi="Times New Roman"/>
                <w:sz w:val="18"/>
                <w:szCs w:val="18"/>
                <w:lang w:val="en-US"/>
              </w:rPr>
            </w:pPr>
            <w:r w:rsidRPr="0037794B">
              <w:rPr>
                <w:rFonts w:ascii="Times New Roman" w:hAnsi="Times New Roman"/>
                <w:sz w:val="18"/>
                <w:szCs w:val="18"/>
                <w:lang w:val="en-US"/>
              </w:rPr>
              <w:t xml:space="preserve">This </w:t>
            </w:r>
            <w:r>
              <w:rPr>
                <w:rFonts w:ascii="Times New Roman" w:hAnsi="Times New Roman"/>
                <w:sz w:val="18"/>
                <w:szCs w:val="18"/>
                <w:lang w:val="en-US"/>
              </w:rPr>
              <w:t>table reports empirical results</w:t>
            </w:r>
            <w:r w:rsidRPr="0037794B">
              <w:rPr>
                <w:rFonts w:ascii="Times New Roman" w:hAnsi="Times New Roman"/>
                <w:sz w:val="18"/>
                <w:szCs w:val="18"/>
                <w:lang w:val="en-US"/>
              </w:rPr>
              <w:t xml:space="preserve"> for monthly </w:t>
            </w:r>
            <w:r>
              <w:rPr>
                <w:rFonts w:ascii="Times New Roman" w:hAnsi="Times New Roman"/>
                <w:sz w:val="18"/>
                <w:szCs w:val="18"/>
                <w:lang w:val="en-US"/>
              </w:rPr>
              <w:t xml:space="preserve">data. </w:t>
            </w:r>
            <w:r w:rsidRPr="0037794B">
              <w:rPr>
                <w:rFonts w:ascii="Times New Roman" w:hAnsi="Times New Roman"/>
                <w:sz w:val="18"/>
                <w:szCs w:val="18"/>
                <w:lang w:val="en-US"/>
              </w:rPr>
              <w:t>The samp</w:t>
            </w:r>
            <w:r>
              <w:rPr>
                <w:rFonts w:ascii="Times New Roman" w:hAnsi="Times New Roman"/>
                <w:sz w:val="18"/>
                <w:szCs w:val="18"/>
                <w:lang w:val="en-US"/>
              </w:rPr>
              <w:t>le period runs from January 1982 to September 2014.</w:t>
            </w:r>
          </w:p>
        </w:tc>
      </w:tr>
    </w:tbl>
    <w:p w14:paraId="115C0288" w14:textId="77777777" w:rsidR="00F20F54" w:rsidRPr="00F20F54" w:rsidRDefault="00F20F54" w:rsidP="00F20F54">
      <w:pPr>
        <w:jc w:val="both"/>
        <w:rPr>
          <w:rFonts w:ascii="Arial" w:hAnsi="Arial" w:cs="Arial"/>
          <w:lang w:val="en-US"/>
        </w:rPr>
      </w:pPr>
    </w:p>
    <w:p w14:paraId="2ABE253C" w14:textId="77777777" w:rsidR="00F20F54" w:rsidRPr="00F20F54" w:rsidRDefault="00F20F54" w:rsidP="00F20F54">
      <w:pPr>
        <w:jc w:val="both"/>
        <w:rPr>
          <w:rFonts w:ascii="Arial" w:hAnsi="Arial" w:cs="Arial"/>
          <w:lang w:val="en-US"/>
        </w:rPr>
      </w:pPr>
      <w:r w:rsidRPr="00F20F54">
        <w:rPr>
          <w:rFonts w:ascii="Arial" w:hAnsi="Arial" w:cs="Arial"/>
          <w:lang w:val="en-US"/>
        </w:rPr>
        <w:t>In order to predict possible effects of QE in the Euro Area as announced on October 2, 2014, by the ECB  into our modelling framework:</w:t>
      </w:r>
    </w:p>
    <w:p w14:paraId="5BA729E0" w14:textId="77777777" w:rsidR="00F20F54" w:rsidRPr="00F20F54" w:rsidRDefault="00F20F54" w:rsidP="00F20F54">
      <w:pPr>
        <w:jc w:val="both"/>
        <w:rPr>
          <w:rFonts w:ascii="Arial" w:hAnsi="Arial" w:cs="Arial"/>
          <w:lang w:val="en-US"/>
        </w:rPr>
      </w:pPr>
      <w:r w:rsidRPr="00F20F54">
        <w:rPr>
          <w:rFonts w:ascii="Arial" w:hAnsi="Arial" w:cs="Arial"/>
          <w:lang w:val="en-US"/>
        </w:rPr>
        <w:t>The program starts in October 2014.</w:t>
      </w:r>
    </w:p>
    <w:p w14:paraId="36FE6BFA" w14:textId="77777777" w:rsidR="00F20F54" w:rsidRPr="00F20F54" w:rsidRDefault="00F20F54" w:rsidP="00F20F54">
      <w:pPr>
        <w:jc w:val="both"/>
        <w:rPr>
          <w:rFonts w:ascii="Arial" w:hAnsi="Arial" w:cs="Arial"/>
          <w:lang w:val="en-US"/>
        </w:rPr>
      </w:pPr>
      <w:r w:rsidRPr="00F20F54">
        <w:rPr>
          <w:rFonts w:ascii="Arial" w:hAnsi="Arial" w:cs="Arial"/>
          <w:lang w:val="en-US"/>
        </w:rPr>
        <w:t>It will last at least two years.</w:t>
      </w:r>
    </w:p>
    <w:p w14:paraId="59811FB3" w14:textId="77777777" w:rsidR="00F20F54" w:rsidRPr="00F20F54" w:rsidRDefault="00F20F54" w:rsidP="00F20F54">
      <w:pPr>
        <w:jc w:val="both"/>
        <w:rPr>
          <w:rFonts w:ascii="Arial" w:hAnsi="Arial" w:cs="Arial"/>
          <w:lang w:val="en-US"/>
        </w:rPr>
      </w:pPr>
      <w:r w:rsidRPr="00F20F54">
        <w:rPr>
          <w:rFonts w:ascii="Arial" w:hAnsi="Arial" w:cs="Arial"/>
          <w:lang w:val="en-US"/>
        </w:rPr>
        <w:t>It will have a sizeable impact on the ECB’s balance sheet.</w:t>
      </w:r>
    </w:p>
    <w:p w14:paraId="49A9F39D" w14:textId="77777777" w:rsidR="00F20F54" w:rsidRPr="00F20F54" w:rsidRDefault="00F20F54" w:rsidP="00F20F54">
      <w:pPr>
        <w:jc w:val="both"/>
        <w:rPr>
          <w:rFonts w:ascii="Arial" w:hAnsi="Arial" w:cs="Arial"/>
          <w:lang w:val="en-US"/>
        </w:rPr>
      </w:pPr>
      <w:r w:rsidRPr="00F20F54">
        <w:rPr>
          <w:rFonts w:ascii="Arial" w:hAnsi="Arial" w:cs="Arial"/>
          <w:lang w:val="en-US"/>
        </w:rPr>
        <w:t>Based on these assumptions, we develop the following scenario.</w:t>
      </w:r>
    </w:p>
    <w:p w14:paraId="17F3A2DB" w14:textId="5DA21735" w:rsidR="00F20F54" w:rsidRDefault="00F20F54" w:rsidP="00F20F54">
      <w:pPr>
        <w:jc w:val="both"/>
        <w:rPr>
          <w:rFonts w:ascii="Arial" w:hAnsi="Arial" w:cs="Arial"/>
          <w:lang w:val="en-US"/>
        </w:rPr>
      </w:pPr>
      <w:r w:rsidRPr="00F20F54">
        <w:rPr>
          <w:rFonts w:ascii="Arial" w:hAnsi="Arial" w:cs="Arial"/>
          <w:lang w:val="en-US"/>
        </w:rPr>
        <w:t>Figure 2 shows a timeline for constant QE actions of a total outstanding volume of up to EUR 1 billion.</w:t>
      </w:r>
    </w:p>
    <w:p w14:paraId="2E61402B" w14:textId="63E78B62" w:rsidR="00035BF5" w:rsidRDefault="00035BF5" w:rsidP="00F20F54">
      <w:pPr>
        <w:jc w:val="both"/>
        <w:rPr>
          <w:rFonts w:ascii="Arial" w:hAnsi="Arial" w:cs="Arial"/>
          <w:lang w:val="en-US"/>
        </w:rPr>
      </w:pPr>
    </w:p>
    <w:p w14:paraId="723BADBB" w14:textId="77777777" w:rsidR="00035BF5" w:rsidRDefault="00035BF5" w:rsidP="00035BF5">
      <w:pPr>
        <w:rPr>
          <w:rFonts w:ascii="Times New Roman" w:hAnsi="Times New Roman"/>
          <w:lang w:val="en-US"/>
        </w:rPr>
      </w:pPr>
      <w:r>
        <w:rPr>
          <w:rFonts w:ascii="Times New Roman" w:hAnsi="Times New Roman"/>
          <w:lang w:val="en-US"/>
        </w:rPr>
        <w:t>ECB</w:t>
      </w:r>
      <w:r w:rsidRPr="00475F34">
        <w:rPr>
          <w:rFonts w:ascii="Times New Roman" w:hAnsi="Times New Roman"/>
          <w:lang w:val="en-US"/>
        </w:rPr>
        <w:t xml:space="preserve"> </w:t>
      </w:r>
      <w:r>
        <w:rPr>
          <w:rFonts w:ascii="Times New Roman" w:hAnsi="Times New Roman"/>
          <w:lang w:val="en-US"/>
        </w:rPr>
        <w:t>Quantitative Easing</w:t>
      </w:r>
    </w:p>
    <w:p w14:paraId="7684D877" w14:textId="77777777" w:rsidR="00035BF5" w:rsidRDefault="00035BF5" w:rsidP="00035BF5">
      <w:pPr>
        <w:rPr>
          <w:rFonts w:ascii="Times New Roman" w:hAnsi="Times New Roman"/>
          <w:lang w:val="en-US"/>
        </w:rPr>
      </w:pPr>
      <w:r>
        <w:rPr>
          <w:rFonts w:ascii="Times New Roman" w:hAnsi="Times New Roman"/>
          <w:noProof/>
          <w:lang w:val="en-US" w:eastAsia="en-US"/>
        </w:rPr>
        <w:drawing>
          <wp:inline distT="0" distB="0" distL="0" distR="0" wp14:anchorId="39F9C0E4" wp14:editId="3D69B9BA">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1713F0B" w14:textId="77777777" w:rsidR="00035BF5" w:rsidRPr="00475F34" w:rsidRDefault="00035BF5" w:rsidP="00035BF5">
      <w:pPr>
        <w:rPr>
          <w:rFonts w:ascii="Times New Roman" w:hAnsi="Times New Roman"/>
          <w:b/>
          <w:sz w:val="18"/>
          <w:szCs w:val="18"/>
          <w:lang w:val="en-US"/>
        </w:rPr>
      </w:pPr>
      <w:r w:rsidRPr="00A63208">
        <w:rPr>
          <w:rFonts w:ascii="Times New Roman" w:hAnsi="Times New Roman"/>
          <w:b/>
          <w:i/>
          <w:sz w:val="18"/>
          <w:szCs w:val="18"/>
          <w:lang w:val="en-US"/>
        </w:rPr>
        <w:t>Figure 2.</w:t>
      </w:r>
      <w:r>
        <w:rPr>
          <w:rFonts w:ascii="Times New Roman" w:hAnsi="Times New Roman"/>
          <w:b/>
          <w:sz w:val="18"/>
          <w:szCs w:val="18"/>
          <w:lang w:val="en-US"/>
        </w:rPr>
        <w:t xml:space="preserve"> ECB</w:t>
      </w:r>
      <w:r w:rsidRPr="00475F34">
        <w:rPr>
          <w:rFonts w:ascii="Times New Roman" w:hAnsi="Times New Roman"/>
          <w:b/>
          <w:sz w:val="18"/>
          <w:szCs w:val="18"/>
          <w:lang w:val="en-US"/>
        </w:rPr>
        <w:t xml:space="preserve"> Quantitative Easing Actions</w:t>
      </w:r>
    </w:p>
    <w:p w14:paraId="508C85E7" w14:textId="77777777" w:rsidR="00035BF5" w:rsidRPr="00475F34" w:rsidRDefault="00035BF5" w:rsidP="00035BF5">
      <w:pPr>
        <w:rPr>
          <w:rFonts w:ascii="Times New Roman" w:hAnsi="Times New Roman"/>
          <w:sz w:val="18"/>
          <w:szCs w:val="18"/>
          <w:lang w:val="en-US"/>
        </w:rPr>
      </w:pPr>
      <w:r>
        <w:rPr>
          <w:rFonts w:ascii="Times New Roman" w:hAnsi="Times New Roman"/>
          <w:sz w:val="18"/>
          <w:szCs w:val="18"/>
          <w:lang w:val="en-US"/>
        </w:rPr>
        <w:t>This figure shows ECB</w:t>
      </w:r>
      <w:r w:rsidRPr="00475F34">
        <w:rPr>
          <w:rFonts w:ascii="Times New Roman" w:hAnsi="Times New Roman"/>
          <w:sz w:val="18"/>
          <w:szCs w:val="18"/>
          <w:lang w:val="en-US"/>
        </w:rPr>
        <w:t xml:space="preserve"> Quantitative Easing monthly actions and the total vo</w:t>
      </w:r>
      <w:r>
        <w:rPr>
          <w:rFonts w:ascii="Times New Roman" w:hAnsi="Times New Roman"/>
          <w:sz w:val="18"/>
          <w:szCs w:val="18"/>
          <w:lang w:val="en-US"/>
        </w:rPr>
        <w:t>lume of the actions between 2014 and 2017</w:t>
      </w:r>
      <w:r w:rsidRPr="00475F34">
        <w:rPr>
          <w:rFonts w:ascii="Times New Roman" w:hAnsi="Times New Roman"/>
          <w:sz w:val="18"/>
          <w:szCs w:val="18"/>
          <w:lang w:val="en-US"/>
        </w:rPr>
        <w:t>.</w:t>
      </w:r>
    </w:p>
    <w:p w14:paraId="44DB1FAB" w14:textId="77777777" w:rsidR="00035BF5" w:rsidRPr="00F20F54" w:rsidRDefault="00035BF5" w:rsidP="00F20F54">
      <w:pPr>
        <w:jc w:val="both"/>
        <w:rPr>
          <w:rFonts w:ascii="Arial" w:hAnsi="Arial" w:cs="Arial"/>
          <w:lang w:val="en-US"/>
        </w:rPr>
      </w:pPr>
    </w:p>
    <w:p w14:paraId="4AC60513" w14:textId="77777777" w:rsidR="00F20F54" w:rsidRPr="00F20F54" w:rsidRDefault="00F20F54" w:rsidP="00F20F54">
      <w:pPr>
        <w:jc w:val="both"/>
        <w:rPr>
          <w:rFonts w:ascii="Arial" w:hAnsi="Arial" w:cs="Arial"/>
          <w:lang w:val="en-US"/>
        </w:rPr>
      </w:pPr>
      <w:r w:rsidRPr="00F20F54">
        <w:rPr>
          <w:rFonts w:ascii="Arial" w:hAnsi="Arial" w:cs="Arial"/>
          <w:lang w:val="en-US"/>
        </w:rPr>
        <w:t xml:space="preserve">Figure 3 shows the long term simulated stock market time series on this timeline. </w:t>
      </w:r>
    </w:p>
    <w:p w14:paraId="19F56306" w14:textId="77777777" w:rsidR="00035BF5" w:rsidRDefault="00035BF5" w:rsidP="00F20F54">
      <w:pPr>
        <w:jc w:val="both"/>
        <w:rPr>
          <w:rFonts w:ascii="Arial" w:hAnsi="Arial" w:cs="Arial"/>
          <w:lang w:val="en-US"/>
        </w:rPr>
      </w:pPr>
    </w:p>
    <w:p w14:paraId="18046F2C" w14:textId="77777777" w:rsidR="00035BF5" w:rsidRDefault="00035BF5" w:rsidP="00035BF5">
      <w:pPr>
        <w:rPr>
          <w:rFonts w:ascii="Times New Roman" w:hAnsi="Times New Roman"/>
          <w:lang w:val="en-US"/>
        </w:rPr>
      </w:pPr>
      <w:r>
        <w:rPr>
          <w:rFonts w:ascii="Times New Roman" w:hAnsi="Times New Roman"/>
          <w:lang w:val="en-US"/>
        </w:rPr>
        <w:t>Stock price indices</w:t>
      </w:r>
    </w:p>
    <w:p w14:paraId="7D299936" w14:textId="77777777" w:rsidR="00035BF5" w:rsidRDefault="00035BF5" w:rsidP="00035BF5">
      <w:pPr>
        <w:rPr>
          <w:rFonts w:ascii="Times New Roman" w:hAnsi="Times New Roman"/>
          <w:lang w:val="en-US"/>
        </w:rPr>
      </w:pPr>
      <w:r>
        <w:rPr>
          <w:rFonts w:ascii="Times New Roman" w:hAnsi="Times New Roman"/>
          <w:noProof/>
          <w:lang w:val="en-US" w:eastAsia="en-US"/>
        </w:rPr>
        <w:lastRenderedPageBreak/>
        <w:drawing>
          <wp:inline distT="0" distB="0" distL="0" distR="0" wp14:anchorId="082D95B7" wp14:editId="57D54334">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FE7AF98" w14:textId="77777777" w:rsidR="00035BF5" w:rsidRPr="00475F34" w:rsidRDefault="00035BF5" w:rsidP="00035BF5">
      <w:pPr>
        <w:rPr>
          <w:rFonts w:ascii="Times New Roman" w:hAnsi="Times New Roman"/>
          <w:b/>
          <w:sz w:val="18"/>
          <w:szCs w:val="18"/>
          <w:lang w:val="en-US"/>
        </w:rPr>
      </w:pPr>
      <w:r>
        <w:rPr>
          <w:rFonts w:ascii="Times New Roman" w:hAnsi="Times New Roman"/>
          <w:b/>
          <w:i/>
          <w:sz w:val="18"/>
          <w:szCs w:val="18"/>
          <w:lang w:val="en-US"/>
        </w:rPr>
        <w:t>Figure 3</w:t>
      </w:r>
      <w:r w:rsidRPr="00A63208">
        <w:rPr>
          <w:rFonts w:ascii="Times New Roman" w:hAnsi="Times New Roman"/>
          <w:b/>
          <w:i/>
          <w:sz w:val="18"/>
          <w:szCs w:val="18"/>
          <w:lang w:val="en-US"/>
        </w:rPr>
        <w:t>.</w:t>
      </w:r>
      <w:r>
        <w:rPr>
          <w:rFonts w:ascii="Times New Roman" w:hAnsi="Times New Roman"/>
          <w:b/>
          <w:sz w:val="18"/>
          <w:szCs w:val="18"/>
          <w:lang w:val="en-US"/>
        </w:rPr>
        <w:t xml:space="preserve"> ECB</w:t>
      </w:r>
      <w:r w:rsidRPr="00475F34">
        <w:rPr>
          <w:rFonts w:ascii="Times New Roman" w:hAnsi="Times New Roman"/>
          <w:b/>
          <w:sz w:val="18"/>
          <w:szCs w:val="18"/>
          <w:lang w:val="en-US"/>
        </w:rPr>
        <w:t xml:space="preserve"> Quantitative Easing Actions</w:t>
      </w:r>
    </w:p>
    <w:p w14:paraId="3648212D" w14:textId="77777777" w:rsidR="00035BF5" w:rsidRPr="00475F34" w:rsidRDefault="00035BF5" w:rsidP="00035BF5">
      <w:pPr>
        <w:rPr>
          <w:rFonts w:ascii="Times New Roman" w:hAnsi="Times New Roman"/>
          <w:sz w:val="18"/>
          <w:szCs w:val="18"/>
          <w:lang w:val="en-US"/>
        </w:rPr>
      </w:pPr>
      <w:r>
        <w:rPr>
          <w:rFonts w:ascii="Times New Roman" w:hAnsi="Times New Roman"/>
          <w:sz w:val="18"/>
          <w:szCs w:val="18"/>
          <w:lang w:val="en-US"/>
        </w:rPr>
        <w:t>This figure shows the simulation of Stock price indices from October 2014 to December 2018. All indices are based on monthly data for the sample period from January 1982 to September 2014.</w:t>
      </w:r>
    </w:p>
    <w:p w14:paraId="27F7C7CC" w14:textId="77777777" w:rsidR="00176F5C" w:rsidRDefault="00176F5C" w:rsidP="00B13D65">
      <w:pPr>
        <w:jc w:val="both"/>
        <w:rPr>
          <w:rFonts w:ascii="Arial" w:hAnsi="Arial" w:cs="Arial"/>
          <w:lang w:val="en-US"/>
        </w:rPr>
      </w:pPr>
    </w:p>
    <w:p w14:paraId="7B624717" w14:textId="73184E60" w:rsidR="00B13D65" w:rsidRPr="00176F5C" w:rsidRDefault="00B13D65" w:rsidP="00B13D65">
      <w:pPr>
        <w:jc w:val="both"/>
        <w:rPr>
          <w:rFonts w:ascii="Arial" w:hAnsi="Arial" w:cs="Arial"/>
          <w:sz w:val="28"/>
          <w:szCs w:val="28"/>
          <w:lang w:val="en-US"/>
        </w:rPr>
      </w:pPr>
      <w:r w:rsidRPr="003654E3">
        <w:rPr>
          <w:rFonts w:ascii="Arial" w:hAnsi="Arial" w:cs="Arial"/>
          <w:lang w:val="en-US"/>
        </w:rPr>
        <w:t>This paper employs a multivariate agent</w:t>
      </w:r>
      <w:r w:rsidR="00183755">
        <w:rPr>
          <w:rFonts w:ascii="Arial" w:hAnsi="Arial" w:cs="Arial"/>
          <w:lang w:val="en-US"/>
        </w:rPr>
        <w:t>-</w:t>
      </w:r>
      <w:r w:rsidRPr="003654E3">
        <w:rPr>
          <w:rFonts w:ascii="Arial" w:hAnsi="Arial" w:cs="Arial"/>
          <w:lang w:val="en-US"/>
        </w:rPr>
        <w:t>based model of a broad set of international financial markets to model the effect of quantitative easing (QE) actions undertaken by the Fed. Moreover, we use its results to simulate the impact of QE measures by the ECB on market movements as announced by the ECB in early October 2014. Based on relatively simple assumptions about our agents’ behavior, the model is capable of mirroring well key events in international financial markets. It therefore allows the long term simulation of different markets, their interaction, contagion of shocks and behaviour in times of crises.</w:t>
      </w:r>
      <w:r w:rsidR="003654E3">
        <w:rPr>
          <w:rFonts w:ascii="Arial" w:hAnsi="Arial" w:cs="Arial"/>
          <w:lang w:val="en-US"/>
        </w:rPr>
        <w:t xml:space="preserve"> </w:t>
      </w:r>
      <w:r w:rsidRPr="003654E3">
        <w:rPr>
          <w:rFonts w:ascii="Arial" w:hAnsi="Arial" w:cs="Arial"/>
          <w:lang w:val="en-US"/>
        </w:rPr>
        <w:t>Most importantly, back testing of our model’s predictions with past data clearly shows that including QE in its framework improves it. Moreover, we can then use it to predict an international stock market rally induced by the ECB’s unconventional monetary policy.</w:t>
      </w:r>
    </w:p>
    <w:p w14:paraId="22C0B0F8" w14:textId="0D53759C" w:rsidR="009B2849" w:rsidRPr="005168CF" w:rsidRDefault="007C4518" w:rsidP="00625536">
      <w:pPr>
        <w:pStyle w:val="Heading1"/>
        <w:numPr>
          <w:ilvl w:val="0"/>
          <w:numId w:val="19"/>
        </w:numPr>
        <w:spacing w:line="276" w:lineRule="auto"/>
        <w:jc w:val="both"/>
        <w:rPr>
          <w:rFonts w:ascii="Arial" w:hAnsi="Arial" w:cs="Arial"/>
          <w:color w:val="auto"/>
          <w:sz w:val="28"/>
          <w:szCs w:val="28"/>
          <w:lang w:val="en-US"/>
        </w:rPr>
      </w:pPr>
      <w:r w:rsidRPr="005168CF">
        <w:rPr>
          <w:rFonts w:ascii="Arial" w:hAnsi="Arial" w:cs="Arial"/>
          <w:color w:val="auto"/>
          <w:sz w:val="28"/>
          <w:szCs w:val="28"/>
          <w:lang w:val="en-US"/>
        </w:rPr>
        <w:t>Conclusion</w:t>
      </w:r>
    </w:p>
    <w:p w14:paraId="61AD4A77" w14:textId="77777777" w:rsidR="00F20E3D" w:rsidRPr="005168CF" w:rsidRDefault="00F20E3D" w:rsidP="00625536">
      <w:pPr>
        <w:spacing w:line="276" w:lineRule="auto"/>
        <w:jc w:val="both"/>
        <w:rPr>
          <w:rFonts w:ascii="Arial" w:hAnsi="Arial" w:cs="Arial"/>
          <w:lang w:val="en-US"/>
        </w:rPr>
      </w:pPr>
    </w:p>
    <w:p w14:paraId="3C7D5119" w14:textId="77777777" w:rsidR="00BD10D7" w:rsidRPr="005168CF" w:rsidRDefault="00BD10D7" w:rsidP="00BD10D7">
      <w:pPr>
        <w:pStyle w:val="ListParagraph"/>
        <w:numPr>
          <w:ilvl w:val="0"/>
          <w:numId w:val="32"/>
        </w:numPr>
        <w:spacing w:line="276" w:lineRule="auto"/>
        <w:jc w:val="both"/>
        <w:rPr>
          <w:rFonts w:ascii="Arial" w:hAnsi="Arial" w:cs="Arial"/>
          <w:i/>
          <w:lang w:val="en-US"/>
        </w:rPr>
      </w:pPr>
      <w:r w:rsidRPr="005168CF">
        <w:rPr>
          <w:rFonts w:ascii="Arial" w:hAnsi="Arial" w:cs="Arial"/>
          <w:i/>
          <w:lang w:val="en-US"/>
        </w:rPr>
        <w:t>Summary and interpretation of results</w:t>
      </w:r>
    </w:p>
    <w:p w14:paraId="2E9D089F" w14:textId="77777777" w:rsidR="00BD10D7" w:rsidRPr="005168CF" w:rsidRDefault="00BD10D7" w:rsidP="00BD10D7">
      <w:pPr>
        <w:pStyle w:val="ListParagraph"/>
        <w:numPr>
          <w:ilvl w:val="0"/>
          <w:numId w:val="32"/>
        </w:numPr>
        <w:spacing w:line="276" w:lineRule="auto"/>
        <w:jc w:val="both"/>
        <w:rPr>
          <w:rFonts w:ascii="Arial" w:hAnsi="Arial" w:cs="Arial"/>
          <w:i/>
          <w:lang w:val="en-US"/>
        </w:rPr>
      </w:pPr>
      <w:r w:rsidRPr="005168CF">
        <w:rPr>
          <w:rFonts w:ascii="Arial" w:hAnsi="Arial" w:cs="Arial"/>
          <w:i/>
          <w:lang w:val="en-US"/>
        </w:rPr>
        <w:t>Main contribution to the core audience</w:t>
      </w:r>
    </w:p>
    <w:p w14:paraId="59607BC0" w14:textId="77777777" w:rsidR="00BD10D7" w:rsidRPr="005168CF" w:rsidRDefault="00BD10D7" w:rsidP="00BD10D7">
      <w:pPr>
        <w:pStyle w:val="ListParagraph"/>
        <w:numPr>
          <w:ilvl w:val="0"/>
          <w:numId w:val="32"/>
        </w:numPr>
        <w:spacing w:line="276" w:lineRule="auto"/>
        <w:jc w:val="both"/>
        <w:rPr>
          <w:rFonts w:ascii="Arial" w:hAnsi="Arial" w:cs="Arial"/>
          <w:i/>
          <w:lang w:val="en-US"/>
        </w:rPr>
      </w:pPr>
      <w:r w:rsidRPr="005168CF">
        <w:rPr>
          <w:rFonts w:ascii="Arial" w:hAnsi="Arial" w:cs="Arial"/>
          <w:i/>
          <w:lang w:val="en-US"/>
        </w:rPr>
        <w:t>Contributions to peripheral audience</w:t>
      </w:r>
    </w:p>
    <w:p w14:paraId="6578533C" w14:textId="77777777" w:rsidR="00BD10D7" w:rsidRPr="005168CF" w:rsidRDefault="00BD10D7" w:rsidP="00BD10D7">
      <w:pPr>
        <w:pStyle w:val="ListParagraph"/>
        <w:numPr>
          <w:ilvl w:val="0"/>
          <w:numId w:val="32"/>
        </w:numPr>
        <w:spacing w:line="276" w:lineRule="auto"/>
        <w:jc w:val="both"/>
        <w:rPr>
          <w:rFonts w:ascii="Arial" w:hAnsi="Arial" w:cs="Arial"/>
          <w:i/>
          <w:lang w:val="en-US"/>
        </w:rPr>
      </w:pPr>
      <w:r w:rsidRPr="005168CF">
        <w:rPr>
          <w:rFonts w:ascii="Arial" w:hAnsi="Arial" w:cs="Arial"/>
          <w:i/>
          <w:lang w:val="en-US"/>
        </w:rPr>
        <w:t>Limitations – boundaries</w:t>
      </w:r>
    </w:p>
    <w:p w14:paraId="541E0082" w14:textId="77777777" w:rsidR="00BD10D7" w:rsidRPr="005168CF" w:rsidRDefault="00BD10D7" w:rsidP="00BD10D7">
      <w:pPr>
        <w:pStyle w:val="ListParagraph"/>
        <w:numPr>
          <w:ilvl w:val="0"/>
          <w:numId w:val="32"/>
        </w:numPr>
        <w:spacing w:line="276" w:lineRule="auto"/>
        <w:jc w:val="both"/>
        <w:rPr>
          <w:rFonts w:ascii="Arial" w:hAnsi="Arial" w:cs="Arial"/>
          <w:i/>
          <w:lang w:val="en-US"/>
        </w:rPr>
      </w:pPr>
      <w:r w:rsidRPr="005168CF">
        <w:rPr>
          <w:rFonts w:ascii="Arial" w:hAnsi="Arial" w:cs="Arial"/>
          <w:i/>
          <w:lang w:val="en-US"/>
        </w:rPr>
        <w:t>Future research</w:t>
      </w:r>
    </w:p>
    <w:p w14:paraId="1C403C89" w14:textId="2D2C7901" w:rsidR="00AE707A" w:rsidRPr="005168CF" w:rsidRDefault="00AE707A" w:rsidP="00625536">
      <w:pPr>
        <w:spacing w:line="276" w:lineRule="auto"/>
        <w:jc w:val="both"/>
        <w:rPr>
          <w:rFonts w:ascii="Arial" w:hAnsi="Arial" w:cs="Arial"/>
          <w:lang w:val="en-US"/>
        </w:rPr>
      </w:pPr>
    </w:p>
    <w:p w14:paraId="43DCD917" w14:textId="77777777" w:rsidR="00CE792F" w:rsidRPr="005168CF" w:rsidRDefault="00CE792F" w:rsidP="00625536">
      <w:pPr>
        <w:spacing w:line="276" w:lineRule="auto"/>
        <w:jc w:val="both"/>
        <w:rPr>
          <w:rFonts w:ascii="Arial" w:hAnsi="Arial" w:cs="Arial"/>
          <w:lang w:val="en-US"/>
        </w:rPr>
      </w:pPr>
    </w:p>
    <w:p w14:paraId="072B4CFE" w14:textId="77777777" w:rsidR="00DC6D00" w:rsidRDefault="00DC6D00" w:rsidP="00625536">
      <w:pPr>
        <w:jc w:val="both"/>
        <w:rPr>
          <w:rFonts w:ascii="Arial" w:hAnsi="Arial" w:cs="Arial"/>
          <w:b/>
          <w:sz w:val="28"/>
          <w:lang w:val="en-US"/>
        </w:rPr>
      </w:pPr>
      <w:r>
        <w:rPr>
          <w:rFonts w:ascii="Arial" w:hAnsi="Arial" w:cs="Arial"/>
          <w:b/>
          <w:sz w:val="28"/>
          <w:lang w:val="en-US"/>
        </w:rPr>
        <w:br w:type="page"/>
      </w:r>
    </w:p>
    <w:p w14:paraId="1F0CB748" w14:textId="30B7685C" w:rsidR="004307CF" w:rsidRPr="005168CF" w:rsidRDefault="004307CF" w:rsidP="00625536">
      <w:pPr>
        <w:spacing w:line="276" w:lineRule="auto"/>
        <w:jc w:val="both"/>
        <w:rPr>
          <w:rFonts w:ascii="Arial" w:hAnsi="Arial" w:cs="Arial"/>
          <w:b/>
          <w:sz w:val="28"/>
          <w:lang w:val="en-US"/>
        </w:rPr>
      </w:pPr>
      <w:r w:rsidRPr="005168CF">
        <w:rPr>
          <w:rFonts w:ascii="Arial" w:hAnsi="Arial" w:cs="Arial"/>
          <w:b/>
          <w:sz w:val="28"/>
          <w:lang w:val="en-US"/>
        </w:rPr>
        <w:lastRenderedPageBreak/>
        <w:t>References</w:t>
      </w:r>
    </w:p>
    <w:p w14:paraId="0F80A203" w14:textId="77777777" w:rsidR="00770A77" w:rsidRPr="005168CF" w:rsidRDefault="00770A77" w:rsidP="00600D2E">
      <w:pPr>
        <w:spacing w:line="276" w:lineRule="auto"/>
        <w:rPr>
          <w:rFonts w:ascii="Arial" w:hAnsi="Arial" w:cs="Arial"/>
          <w:lang w:val="en-US"/>
        </w:rPr>
      </w:pPr>
    </w:p>
    <w:p w14:paraId="5F1BB509" w14:textId="15419810" w:rsidR="00A61871" w:rsidRDefault="00A61871" w:rsidP="00884D21">
      <w:pPr>
        <w:spacing w:line="276" w:lineRule="auto"/>
        <w:ind w:left="284" w:hanging="284"/>
        <w:rPr>
          <w:rFonts w:ascii="Arial" w:hAnsi="Arial" w:cs="Arial"/>
          <w:lang w:val="en-US"/>
        </w:rPr>
      </w:pPr>
      <w:r>
        <w:rPr>
          <w:rFonts w:ascii="Arial" w:hAnsi="Arial" w:cs="Arial"/>
          <w:lang w:val="en-US"/>
        </w:rPr>
        <w:t>Allen, P.M. (1994). Evolutionary Complex Systems. Models of Technology Change. In Leydesdorff, L., &amp; Van den Besselaar, P.</w:t>
      </w:r>
      <w:r w:rsidR="004E5396">
        <w:rPr>
          <w:rFonts w:ascii="Arial" w:hAnsi="Arial" w:cs="Arial"/>
          <w:lang w:val="en-US"/>
        </w:rPr>
        <w:t xml:space="preserve"> (Ed.). Evolutionary Economics and Chaos Theory. London: Pinter.</w:t>
      </w:r>
    </w:p>
    <w:p w14:paraId="44FD008C" w14:textId="77777777" w:rsidR="00A61871" w:rsidRDefault="00A61871" w:rsidP="00884D21">
      <w:pPr>
        <w:spacing w:line="276" w:lineRule="auto"/>
        <w:ind w:left="284" w:hanging="284"/>
        <w:rPr>
          <w:rFonts w:ascii="Arial" w:hAnsi="Arial" w:cs="Arial"/>
          <w:lang w:val="en-US"/>
        </w:rPr>
      </w:pPr>
    </w:p>
    <w:p w14:paraId="72A2B49D" w14:textId="28A10273" w:rsidR="00F025CF" w:rsidRDefault="00F025CF" w:rsidP="00884D21">
      <w:pPr>
        <w:spacing w:line="276" w:lineRule="auto"/>
        <w:ind w:left="284" w:hanging="284"/>
        <w:rPr>
          <w:rFonts w:ascii="Arial" w:hAnsi="Arial" w:cs="Arial"/>
          <w:lang w:val="en-US"/>
        </w:rPr>
      </w:pPr>
      <w:r w:rsidRPr="000A24EE">
        <w:rPr>
          <w:rFonts w:ascii="Arial" w:hAnsi="Arial" w:cs="Arial"/>
          <w:lang w:val="en-US"/>
        </w:rPr>
        <w:t xml:space="preserve">Andersen, J. V., &amp; Sornette, D. (2005). </w:t>
      </w:r>
      <w:r w:rsidRPr="00F025CF">
        <w:rPr>
          <w:rFonts w:ascii="Arial" w:hAnsi="Arial" w:cs="Arial"/>
          <w:lang w:val="en-US"/>
        </w:rPr>
        <w:t>A Mechanism for Pockets of Predictability in Complex Adaptive Systems</w:t>
      </w:r>
      <w:r>
        <w:rPr>
          <w:rFonts w:ascii="Arial" w:hAnsi="Arial" w:cs="Arial"/>
          <w:lang w:val="en-US"/>
        </w:rPr>
        <w:t>.</w:t>
      </w:r>
      <w:r w:rsidRPr="00F025CF">
        <w:rPr>
          <w:rFonts w:ascii="Arial" w:hAnsi="Arial" w:cs="Arial"/>
          <w:lang w:val="en-US"/>
        </w:rPr>
        <w:t xml:space="preserve"> </w:t>
      </w:r>
      <w:r w:rsidRPr="00F025CF">
        <w:rPr>
          <w:rFonts w:ascii="Arial" w:hAnsi="Arial" w:cs="Arial"/>
          <w:i/>
          <w:iCs/>
          <w:lang w:val="en-US"/>
        </w:rPr>
        <w:t>Europhysics Letters</w:t>
      </w:r>
      <w:r>
        <w:rPr>
          <w:rFonts w:ascii="Arial" w:hAnsi="Arial" w:cs="Arial"/>
          <w:i/>
          <w:iCs/>
          <w:lang w:val="en-US"/>
        </w:rPr>
        <w:t>,</w:t>
      </w:r>
      <w:r w:rsidRPr="00F025CF">
        <w:rPr>
          <w:rFonts w:ascii="Arial" w:hAnsi="Arial" w:cs="Arial"/>
          <w:i/>
          <w:iCs/>
          <w:lang w:val="en-US"/>
        </w:rPr>
        <w:t xml:space="preserve"> 70(5),</w:t>
      </w:r>
      <w:r w:rsidRPr="00F025CF">
        <w:rPr>
          <w:rFonts w:ascii="Arial" w:hAnsi="Arial" w:cs="Arial"/>
          <w:lang w:val="en-US"/>
        </w:rPr>
        <w:t xml:space="preserve"> 697-703. </w:t>
      </w:r>
    </w:p>
    <w:p w14:paraId="50758FFE" w14:textId="77777777" w:rsidR="00F025CF" w:rsidRDefault="00F025CF" w:rsidP="00884D21">
      <w:pPr>
        <w:spacing w:line="276" w:lineRule="auto"/>
        <w:ind w:left="284" w:hanging="284"/>
        <w:rPr>
          <w:rFonts w:ascii="Arial" w:hAnsi="Arial" w:cs="Arial"/>
          <w:lang w:val="en-US"/>
        </w:rPr>
      </w:pPr>
    </w:p>
    <w:p w14:paraId="73FCC1F3" w14:textId="66F7EE15" w:rsidR="00EC06F0" w:rsidRDefault="00EC06F0" w:rsidP="00884D21">
      <w:pPr>
        <w:spacing w:line="276" w:lineRule="auto"/>
        <w:ind w:left="284" w:hanging="284"/>
        <w:rPr>
          <w:rFonts w:ascii="Arial" w:hAnsi="Arial" w:cs="Arial"/>
          <w:lang w:val="en-US"/>
        </w:rPr>
      </w:pPr>
      <w:r>
        <w:rPr>
          <w:rFonts w:ascii="Arial" w:hAnsi="Arial" w:cs="Arial"/>
          <w:lang w:val="en-US"/>
        </w:rPr>
        <w:t>Ankenbrand</w:t>
      </w:r>
      <w:r w:rsidR="00B63389">
        <w:rPr>
          <w:rFonts w:ascii="Arial" w:hAnsi="Arial" w:cs="Arial"/>
          <w:lang w:val="en-US"/>
        </w:rPr>
        <w:t xml:space="preserve">, T. &amp; Tomassini, M. (1995a). Multivariate time series modelling of financial markets with artificial neural networks. In Pearson, D.W., Steele, N.C., Albrecht, R.F.: </w:t>
      </w:r>
      <w:r w:rsidR="00B63389" w:rsidRPr="00B63389">
        <w:rPr>
          <w:rFonts w:ascii="Arial" w:hAnsi="Arial" w:cs="Arial"/>
          <w:i/>
          <w:lang w:val="en-US"/>
        </w:rPr>
        <w:t>Artificial Neural Nets and Genetic Algorithms</w:t>
      </w:r>
      <w:r w:rsidR="00B63389">
        <w:rPr>
          <w:rFonts w:ascii="Arial" w:hAnsi="Arial" w:cs="Arial"/>
          <w:lang w:val="en-US"/>
        </w:rPr>
        <w:t>. Springer, 1995.</w:t>
      </w:r>
    </w:p>
    <w:p w14:paraId="42A96A1C" w14:textId="77777777" w:rsidR="00EC06F0" w:rsidRDefault="00EC06F0" w:rsidP="00884D21">
      <w:pPr>
        <w:spacing w:line="276" w:lineRule="auto"/>
        <w:ind w:left="284" w:hanging="284"/>
        <w:rPr>
          <w:rFonts w:ascii="Arial" w:hAnsi="Arial" w:cs="Arial"/>
          <w:lang w:val="en-US"/>
        </w:rPr>
      </w:pPr>
    </w:p>
    <w:p w14:paraId="21C83B70" w14:textId="0BC35D4A" w:rsidR="00B63389" w:rsidRDefault="00B63389" w:rsidP="00884D21">
      <w:pPr>
        <w:spacing w:line="276" w:lineRule="auto"/>
        <w:ind w:left="284" w:hanging="284"/>
        <w:rPr>
          <w:rFonts w:ascii="Arial" w:hAnsi="Arial" w:cs="Arial"/>
          <w:lang w:val="en-US"/>
        </w:rPr>
      </w:pPr>
      <w:r>
        <w:rPr>
          <w:rFonts w:ascii="Arial" w:hAnsi="Arial" w:cs="Arial"/>
          <w:lang w:val="en-US"/>
        </w:rPr>
        <w:t xml:space="preserve">Ankenbrand, T. &amp; Tomassini, M. (1995b). Neural Networks and Statistical Forecasting of Multivariate Economical and Financial Time Series. </w:t>
      </w:r>
      <w:r w:rsidRPr="00B63389">
        <w:rPr>
          <w:rFonts w:ascii="Arial" w:hAnsi="Arial" w:cs="Arial"/>
          <w:i/>
          <w:lang w:val="en-US"/>
        </w:rPr>
        <w:t>Neural Network World</w:t>
      </w:r>
      <w:r>
        <w:rPr>
          <w:rFonts w:ascii="Arial" w:hAnsi="Arial" w:cs="Arial"/>
          <w:lang w:val="en-US"/>
        </w:rPr>
        <w:t>. IDG, 1995.</w:t>
      </w:r>
    </w:p>
    <w:p w14:paraId="78587E1F" w14:textId="77777777" w:rsidR="00EC06F0" w:rsidRDefault="00EC06F0" w:rsidP="00884D21">
      <w:pPr>
        <w:spacing w:line="276" w:lineRule="auto"/>
        <w:ind w:left="284" w:hanging="284"/>
        <w:rPr>
          <w:rFonts w:ascii="Arial" w:hAnsi="Arial" w:cs="Arial"/>
          <w:lang w:val="en-US"/>
        </w:rPr>
      </w:pPr>
    </w:p>
    <w:p w14:paraId="64CCF361" w14:textId="77777777" w:rsidR="00F015A3" w:rsidRPr="00040D80" w:rsidRDefault="00F015A3" w:rsidP="001629E8">
      <w:pPr>
        <w:spacing w:line="276" w:lineRule="auto"/>
        <w:ind w:left="284" w:hanging="284"/>
        <w:rPr>
          <w:rFonts w:ascii="Arial" w:hAnsi="Arial" w:cs="Arial"/>
          <w:lang w:val="de-DE"/>
        </w:rPr>
      </w:pPr>
      <w:r w:rsidRPr="00F015A3">
        <w:rPr>
          <w:rFonts w:ascii="Arial" w:hAnsi="Arial" w:cs="Arial"/>
          <w:lang w:val="en-US"/>
        </w:rPr>
        <w:t xml:space="preserve">Andrikogiannopoulou A. and Papakonstantinou F. Are behavioural bias stable across markets and prelavent across individuels? </w:t>
      </w:r>
      <w:r w:rsidRPr="00040D80">
        <w:rPr>
          <w:rFonts w:ascii="Arial" w:hAnsi="Arial" w:cs="Arial"/>
          <w:lang w:val="de-DE"/>
        </w:rPr>
        <w:t>Evidence from individuel betting choices [Journal]. - 2010.</w:t>
      </w:r>
    </w:p>
    <w:p w14:paraId="4B5635C4" w14:textId="77777777" w:rsidR="00F015A3" w:rsidRPr="00040D80" w:rsidRDefault="00F015A3" w:rsidP="001629E8">
      <w:pPr>
        <w:spacing w:line="276" w:lineRule="auto"/>
        <w:ind w:left="284" w:hanging="284"/>
        <w:rPr>
          <w:rFonts w:ascii="Arial" w:hAnsi="Arial" w:cs="Arial"/>
          <w:lang w:val="de-DE"/>
        </w:rPr>
      </w:pPr>
    </w:p>
    <w:p w14:paraId="5810B563" w14:textId="72A9316B" w:rsidR="00A54BD1" w:rsidRPr="002F4F74" w:rsidRDefault="00A54BD1" w:rsidP="001629E8">
      <w:pPr>
        <w:spacing w:line="276" w:lineRule="auto"/>
        <w:ind w:left="284" w:hanging="284"/>
        <w:rPr>
          <w:rFonts w:ascii="Arial" w:hAnsi="Arial" w:cs="Arial"/>
          <w:lang w:val="en-US"/>
        </w:rPr>
      </w:pPr>
      <w:r w:rsidRPr="00A54BD1">
        <w:rPr>
          <w:rFonts w:ascii="Arial" w:hAnsi="Arial" w:cs="Arial"/>
          <w:lang w:val="de-CH"/>
        </w:rPr>
        <w:t xml:space="preserve">Bundesamt für Statistik (2013): Mietpreisindex. Schweizerisches Bundesamt für Statistik BFS. </w:t>
      </w:r>
      <w:r w:rsidRPr="00A54BD1">
        <w:rPr>
          <w:rFonts w:ascii="Arial" w:hAnsi="Arial" w:cs="Arial"/>
          <w:lang w:val="en-US"/>
        </w:rPr>
        <w:t xml:space="preserve">Data obtained from </w:t>
      </w:r>
      <w:hyperlink r:id="rId15" w:history="1">
        <w:r w:rsidRPr="002F4F74">
          <w:rPr>
            <w:rFonts w:ascii="Arial" w:hAnsi="Arial" w:cs="Arial"/>
            <w:lang w:val="en-US"/>
          </w:rPr>
          <w:t>http://www.bfs.admin.ch/bfs/portal/de/index/themen/05/06/blank/key/index.html</w:t>
        </w:r>
      </w:hyperlink>
    </w:p>
    <w:p w14:paraId="17A92C28" w14:textId="77777777" w:rsidR="00A54BD1" w:rsidRDefault="00A54BD1" w:rsidP="001629E8">
      <w:pPr>
        <w:spacing w:line="276" w:lineRule="auto"/>
        <w:ind w:left="284" w:hanging="284"/>
        <w:rPr>
          <w:rFonts w:ascii="Arial" w:hAnsi="Arial" w:cs="Arial"/>
          <w:lang w:val="en-US"/>
        </w:rPr>
      </w:pPr>
    </w:p>
    <w:p w14:paraId="56B99C03" w14:textId="7B2A0FB2" w:rsidR="0026360F" w:rsidRPr="00EA1896" w:rsidRDefault="0026360F" w:rsidP="001629E8">
      <w:pPr>
        <w:spacing w:line="276" w:lineRule="auto"/>
        <w:ind w:left="284" w:hanging="284"/>
        <w:rPr>
          <w:rFonts w:ascii="Arial" w:hAnsi="Arial" w:cs="Arial"/>
          <w:lang w:val="en-US"/>
        </w:rPr>
      </w:pPr>
      <w:r w:rsidRPr="00A54BD1">
        <w:rPr>
          <w:rFonts w:ascii="Arial" w:hAnsi="Arial" w:cs="Arial"/>
          <w:lang w:val="de-CH"/>
        </w:rPr>
        <w:t>Busoniu, L., Babuska, R. &amp; De Schutter, B.</w:t>
      </w:r>
      <w:r w:rsidR="00EA1896" w:rsidRPr="00A54BD1">
        <w:rPr>
          <w:rFonts w:ascii="Arial" w:hAnsi="Arial" w:cs="Arial"/>
          <w:lang w:val="de-CH"/>
        </w:rPr>
        <w:t xml:space="preserve"> (2008). </w:t>
      </w:r>
      <w:r w:rsidR="00EA1896" w:rsidRPr="00EA1896">
        <w:rPr>
          <w:rFonts w:ascii="Arial" w:hAnsi="Arial" w:cs="Arial"/>
          <w:i/>
          <w:lang w:val="en-US"/>
        </w:rPr>
        <w:t>A Comprehensive Survey of Multiagent Reinforcement Learning.</w:t>
      </w:r>
      <w:r w:rsidR="00EA1896">
        <w:rPr>
          <w:rFonts w:ascii="Arial" w:hAnsi="Arial" w:cs="Arial"/>
          <w:lang w:val="en-US"/>
        </w:rPr>
        <w:t xml:space="preserve"> </w:t>
      </w:r>
      <w:r w:rsidR="00EA1896" w:rsidRPr="00EA1896">
        <w:rPr>
          <w:rFonts w:ascii="Arial" w:hAnsi="Arial" w:cs="Arial"/>
          <w:lang w:val="en-US"/>
        </w:rPr>
        <w:t>IEEE Transactions on Systems, Man, and Cybernetics, Part C (Applications and Reviews) ( Volume: 38 , Issue: 2 , March 2008 )</w:t>
      </w:r>
    </w:p>
    <w:p w14:paraId="29A30AFD" w14:textId="77777777" w:rsidR="0026360F" w:rsidRPr="00EA1896" w:rsidRDefault="0026360F" w:rsidP="001629E8">
      <w:pPr>
        <w:spacing w:line="276" w:lineRule="auto"/>
        <w:ind w:left="284" w:hanging="284"/>
        <w:rPr>
          <w:rFonts w:ascii="Arial" w:hAnsi="Arial" w:cs="Arial"/>
          <w:lang w:val="en-US"/>
        </w:rPr>
      </w:pPr>
    </w:p>
    <w:p w14:paraId="1B0C8DC4" w14:textId="10B1CE39" w:rsidR="001629E8" w:rsidRPr="005168CF" w:rsidRDefault="0025616B" w:rsidP="001629E8">
      <w:pPr>
        <w:spacing w:line="276" w:lineRule="auto"/>
        <w:ind w:left="284" w:hanging="284"/>
        <w:rPr>
          <w:rFonts w:ascii="Arial" w:hAnsi="Arial" w:cs="Arial"/>
          <w:lang w:val="en-US"/>
        </w:rPr>
      </w:pPr>
      <w:r w:rsidRPr="00B1748A">
        <w:rPr>
          <w:rFonts w:ascii="Arial" w:hAnsi="Arial" w:cs="Arial"/>
          <w:lang w:val="it-IT"/>
        </w:rPr>
        <w:t xml:space="preserve">Chiarella </w:t>
      </w:r>
      <w:r w:rsidR="001629E8" w:rsidRPr="00B1748A">
        <w:rPr>
          <w:rFonts w:ascii="Arial" w:hAnsi="Arial" w:cs="Arial"/>
          <w:lang w:val="it-IT"/>
        </w:rPr>
        <w:t>C.,</w:t>
      </w:r>
      <w:r w:rsidRPr="00B1748A">
        <w:rPr>
          <w:rFonts w:ascii="Arial" w:hAnsi="Arial" w:cs="Arial"/>
          <w:lang w:val="it-IT"/>
        </w:rPr>
        <w:t xml:space="preserve"> Dieci </w:t>
      </w:r>
      <w:r w:rsidR="001629E8" w:rsidRPr="00B1748A">
        <w:rPr>
          <w:rFonts w:ascii="Arial" w:hAnsi="Arial" w:cs="Arial"/>
          <w:lang w:val="it-IT"/>
        </w:rPr>
        <w:t>R.,</w:t>
      </w:r>
      <w:r w:rsidRPr="00B1748A">
        <w:rPr>
          <w:rFonts w:ascii="Arial" w:hAnsi="Arial" w:cs="Arial"/>
          <w:lang w:val="it-IT"/>
        </w:rPr>
        <w:t xml:space="preserve"> He </w:t>
      </w:r>
      <w:r w:rsidR="001629E8" w:rsidRPr="00B1748A">
        <w:rPr>
          <w:rFonts w:ascii="Arial" w:hAnsi="Arial" w:cs="Arial"/>
          <w:lang w:val="it-IT"/>
        </w:rPr>
        <w:t>X.Z.</w:t>
      </w:r>
      <w:r w:rsidRPr="00B1748A">
        <w:rPr>
          <w:rFonts w:ascii="Arial" w:hAnsi="Arial" w:cs="Arial"/>
          <w:lang w:val="it-IT"/>
        </w:rPr>
        <w:t xml:space="preserve"> (</w:t>
      </w:r>
      <w:r w:rsidR="001629E8" w:rsidRPr="00B1748A">
        <w:rPr>
          <w:rFonts w:ascii="Arial" w:hAnsi="Arial" w:cs="Arial"/>
          <w:lang w:val="it-IT"/>
        </w:rPr>
        <w:t>2009</w:t>
      </w:r>
      <w:r w:rsidRPr="00B1748A">
        <w:rPr>
          <w:rFonts w:ascii="Arial" w:hAnsi="Arial" w:cs="Arial"/>
          <w:lang w:val="it-IT"/>
        </w:rPr>
        <w:t>)</w:t>
      </w:r>
      <w:r w:rsidR="001629E8" w:rsidRPr="00B1748A">
        <w:rPr>
          <w:rFonts w:ascii="Arial" w:hAnsi="Arial" w:cs="Arial"/>
          <w:lang w:val="it-IT"/>
        </w:rPr>
        <w:t>.</w:t>
      </w:r>
      <w:r w:rsidRPr="00B1748A">
        <w:rPr>
          <w:rFonts w:ascii="Arial" w:hAnsi="Arial" w:cs="Arial"/>
          <w:lang w:val="it-IT"/>
        </w:rPr>
        <w:t xml:space="preserve"> </w:t>
      </w:r>
      <w:r w:rsidR="001629E8" w:rsidRPr="005168CF">
        <w:rPr>
          <w:rFonts w:ascii="Arial" w:hAnsi="Arial" w:cs="Arial"/>
          <w:lang w:val="en-US"/>
        </w:rPr>
        <w:t>Heterogeneity,</w:t>
      </w:r>
      <w:r w:rsidRPr="005168CF">
        <w:rPr>
          <w:rFonts w:ascii="Arial" w:hAnsi="Arial" w:cs="Arial"/>
          <w:lang w:val="en-US"/>
        </w:rPr>
        <w:t xml:space="preserve"> </w:t>
      </w:r>
      <w:r w:rsidR="001629E8" w:rsidRPr="005168CF">
        <w:rPr>
          <w:rFonts w:ascii="Arial" w:hAnsi="Arial" w:cs="Arial"/>
          <w:lang w:val="en-US"/>
        </w:rPr>
        <w:t>market</w:t>
      </w:r>
      <w:r w:rsidRPr="005168CF">
        <w:rPr>
          <w:rFonts w:ascii="Arial" w:hAnsi="Arial" w:cs="Arial"/>
          <w:lang w:val="en-US"/>
        </w:rPr>
        <w:t xml:space="preserve"> </w:t>
      </w:r>
      <w:r w:rsidR="001629E8" w:rsidRPr="005168CF">
        <w:rPr>
          <w:rFonts w:ascii="Arial" w:hAnsi="Arial" w:cs="Arial"/>
          <w:lang w:val="en-US"/>
        </w:rPr>
        <w:t>mechanisms,</w:t>
      </w:r>
      <w:r w:rsidRPr="005168CF">
        <w:rPr>
          <w:rFonts w:ascii="Arial" w:hAnsi="Arial" w:cs="Arial"/>
          <w:lang w:val="en-US"/>
        </w:rPr>
        <w:t xml:space="preserve"> </w:t>
      </w:r>
      <w:r w:rsidR="001629E8" w:rsidRPr="005168CF">
        <w:rPr>
          <w:rFonts w:ascii="Arial" w:hAnsi="Arial" w:cs="Arial"/>
          <w:lang w:val="en-US"/>
        </w:rPr>
        <w:t>and</w:t>
      </w:r>
      <w:r w:rsidRPr="005168CF">
        <w:rPr>
          <w:rFonts w:ascii="Arial" w:hAnsi="Arial" w:cs="Arial"/>
          <w:lang w:val="en-US"/>
        </w:rPr>
        <w:t xml:space="preserve"> </w:t>
      </w:r>
      <w:r w:rsidR="001629E8" w:rsidRPr="005168CF">
        <w:rPr>
          <w:rFonts w:ascii="Arial" w:hAnsi="Arial" w:cs="Arial"/>
          <w:lang w:val="en-US"/>
        </w:rPr>
        <w:t>asset</w:t>
      </w:r>
      <w:r w:rsidRPr="005168CF">
        <w:rPr>
          <w:rFonts w:ascii="Arial" w:hAnsi="Arial" w:cs="Arial"/>
          <w:lang w:val="en-US"/>
        </w:rPr>
        <w:t xml:space="preserve"> </w:t>
      </w:r>
      <w:r w:rsidR="001629E8" w:rsidRPr="005168CF">
        <w:rPr>
          <w:rFonts w:ascii="Arial" w:hAnsi="Arial" w:cs="Arial"/>
          <w:lang w:val="en-US"/>
        </w:rPr>
        <w:t>price</w:t>
      </w:r>
      <w:r w:rsidRPr="005168CF">
        <w:rPr>
          <w:rFonts w:ascii="Arial" w:hAnsi="Arial" w:cs="Arial"/>
          <w:lang w:val="en-US"/>
        </w:rPr>
        <w:t xml:space="preserve"> </w:t>
      </w:r>
      <w:r w:rsidR="001629E8" w:rsidRPr="005168CF">
        <w:rPr>
          <w:rFonts w:ascii="Arial" w:hAnsi="Arial" w:cs="Arial"/>
          <w:lang w:val="en-US"/>
        </w:rPr>
        <w:t>dynamics.</w:t>
      </w:r>
      <w:r w:rsidRPr="005168CF">
        <w:rPr>
          <w:rFonts w:ascii="Arial" w:hAnsi="Arial" w:cs="Arial"/>
          <w:lang w:val="en-US"/>
        </w:rPr>
        <w:t xml:space="preserve"> </w:t>
      </w:r>
      <w:r w:rsidR="001629E8" w:rsidRPr="005168CF">
        <w:rPr>
          <w:rFonts w:ascii="Arial" w:hAnsi="Arial" w:cs="Arial"/>
          <w:lang w:val="en-US"/>
        </w:rPr>
        <w:t>In:</w:t>
      </w:r>
      <w:r w:rsidRPr="005168CF">
        <w:rPr>
          <w:rFonts w:ascii="Arial" w:hAnsi="Arial" w:cs="Arial"/>
          <w:lang w:val="en-US"/>
        </w:rPr>
        <w:t xml:space="preserve"> Hens </w:t>
      </w:r>
      <w:r w:rsidR="001629E8" w:rsidRPr="005168CF">
        <w:rPr>
          <w:rFonts w:ascii="Arial" w:hAnsi="Arial" w:cs="Arial"/>
          <w:lang w:val="en-US"/>
        </w:rPr>
        <w:t>T.,</w:t>
      </w:r>
      <w:r w:rsidRPr="005168CF">
        <w:rPr>
          <w:rFonts w:ascii="Arial" w:hAnsi="Arial" w:cs="Arial"/>
          <w:lang w:val="en-US"/>
        </w:rPr>
        <w:t xml:space="preserve"> Schenk-Hoppé </w:t>
      </w:r>
      <w:r w:rsidR="001629E8" w:rsidRPr="005168CF">
        <w:rPr>
          <w:rFonts w:ascii="Arial" w:hAnsi="Arial" w:cs="Arial"/>
          <w:lang w:val="en-US"/>
        </w:rPr>
        <w:t>K.R.</w:t>
      </w:r>
      <w:r w:rsidRPr="005168CF">
        <w:rPr>
          <w:rFonts w:ascii="Arial" w:hAnsi="Arial" w:cs="Arial"/>
          <w:lang w:val="en-US"/>
        </w:rPr>
        <w:t xml:space="preserve"> </w:t>
      </w:r>
      <w:r w:rsidR="001629E8" w:rsidRPr="005168CF">
        <w:rPr>
          <w:rFonts w:ascii="Arial" w:hAnsi="Arial" w:cs="Arial"/>
          <w:lang w:val="en-US"/>
        </w:rPr>
        <w:t>(Eds.),</w:t>
      </w:r>
      <w:r w:rsidRPr="005168CF">
        <w:rPr>
          <w:rFonts w:ascii="Arial" w:hAnsi="Arial" w:cs="Arial"/>
          <w:lang w:val="en-US"/>
        </w:rPr>
        <w:t xml:space="preserve"> </w:t>
      </w:r>
      <w:r w:rsidR="001629E8" w:rsidRPr="005168CF">
        <w:rPr>
          <w:rFonts w:ascii="Arial" w:hAnsi="Arial" w:cs="Arial"/>
          <w:lang w:val="en-US"/>
        </w:rPr>
        <w:t xml:space="preserve">Handbook of Financial </w:t>
      </w:r>
      <w:r w:rsidR="008824E1" w:rsidRPr="005168CF">
        <w:rPr>
          <w:rFonts w:ascii="Arial" w:hAnsi="Arial" w:cs="Arial"/>
          <w:lang w:val="en-US"/>
        </w:rPr>
        <w:t>Markets, North</w:t>
      </w:r>
      <w:r w:rsidR="001629E8" w:rsidRPr="005168CF">
        <w:rPr>
          <w:rFonts w:ascii="Arial" w:hAnsi="Arial" w:cs="Arial"/>
          <w:lang w:val="en-US"/>
        </w:rPr>
        <w:t xml:space="preserve"> Holland,</w:t>
      </w:r>
      <w:r w:rsidRPr="005168CF">
        <w:rPr>
          <w:rFonts w:ascii="Arial" w:hAnsi="Arial" w:cs="Arial"/>
          <w:lang w:val="en-US"/>
        </w:rPr>
        <w:t xml:space="preserve"> </w:t>
      </w:r>
      <w:r w:rsidR="001629E8" w:rsidRPr="005168CF">
        <w:rPr>
          <w:rFonts w:ascii="Arial" w:hAnsi="Arial" w:cs="Arial"/>
          <w:lang w:val="en-US"/>
        </w:rPr>
        <w:t>SanDiego,</w:t>
      </w:r>
      <w:r w:rsidRPr="005168CF">
        <w:rPr>
          <w:rFonts w:ascii="Arial" w:hAnsi="Arial" w:cs="Arial"/>
          <w:lang w:val="en-US"/>
        </w:rPr>
        <w:t xml:space="preserve"> </w:t>
      </w:r>
      <w:r w:rsidR="001629E8" w:rsidRPr="005168CF">
        <w:rPr>
          <w:rFonts w:ascii="Arial" w:hAnsi="Arial" w:cs="Arial"/>
          <w:lang w:val="en-US"/>
        </w:rPr>
        <w:t>pp.277–344.</w:t>
      </w:r>
    </w:p>
    <w:p w14:paraId="09E7EBEC" w14:textId="77777777" w:rsidR="006337C8" w:rsidRDefault="006337C8" w:rsidP="001629E8">
      <w:pPr>
        <w:spacing w:line="276" w:lineRule="auto"/>
        <w:ind w:left="284" w:hanging="284"/>
        <w:rPr>
          <w:rFonts w:ascii="Arial" w:hAnsi="Arial" w:cs="Arial"/>
          <w:lang w:val="en-US"/>
        </w:rPr>
      </w:pPr>
    </w:p>
    <w:p w14:paraId="15B587BF" w14:textId="419B2A86" w:rsidR="00EC0A26" w:rsidRPr="00EC0A26" w:rsidRDefault="00EC0A26" w:rsidP="001629E8">
      <w:pPr>
        <w:autoSpaceDE w:val="0"/>
        <w:autoSpaceDN w:val="0"/>
        <w:adjustRightInd w:val="0"/>
        <w:ind w:left="284" w:hanging="284"/>
        <w:rPr>
          <w:rFonts w:ascii="Arial" w:hAnsi="Arial" w:cs="Arial"/>
          <w:lang w:val="en-US"/>
        </w:rPr>
      </w:pPr>
      <w:r w:rsidRPr="00E16219">
        <w:rPr>
          <w:rFonts w:ascii="Arial" w:hAnsi="Arial" w:cs="Arial"/>
          <w:lang w:val="de-DE"/>
        </w:rPr>
        <w:t xml:space="preserve">Detzel, A., Liu, H., Strauss, J., Zhou, G. &amp; Zhu, Y. (2018). </w:t>
      </w:r>
      <w:r w:rsidRPr="00EC0A26">
        <w:rPr>
          <w:rFonts w:ascii="Arial" w:hAnsi="Arial" w:cs="Arial"/>
          <w:lang w:val="en-US"/>
        </w:rPr>
        <w:t>Bitcoin: Learning, Predictability, and Profitability via Technical Analysis.</w:t>
      </w:r>
    </w:p>
    <w:p w14:paraId="67B0B4DF" w14:textId="77777777" w:rsidR="00EC0A26" w:rsidRPr="00EC0A26" w:rsidRDefault="00EC0A26" w:rsidP="001629E8">
      <w:pPr>
        <w:autoSpaceDE w:val="0"/>
        <w:autoSpaceDN w:val="0"/>
        <w:adjustRightInd w:val="0"/>
        <w:ind w:left="284" w:hanging="284"/>
        <w:rPr>
          <w:rFonts w:ascii="Arial" w:hAnsi="Arial" w:cs="Arial"/>
          <w:lang w:val="en-US"/>
        </w:rPr>
      </w:pPr>
    </w:p>
    <w:p w14:paraId="6CADCFE7" w14:textId="71BE2746" w:rsidR="00E80771" w:rsidRPr="002878EB" w:rsidRDefault="002878EB" w:rsidP="001629E8">
      <w:pPr>
        <w:autoSpaceDE w:val="0"/>
        <w:autoSpaceDN w:val="0"/>
        <w:adjustRightInd w:val="0"/>
        <w:ind w:left="284" w:hanging="284"/>
        <w:rPr>
          <w:rFonts w:ascii="Arial" w:hAnsi="Arial" w:cs="Arial"/>
          <w:lang w:val="en-US"/>
        </w:rPr>
      </w:pPr>
      <w:r w:rsidRPr="00FA587D">
        <w:rPr>
          <w:rFonts w:ascii="Arial" w:hAnsi="Arial" w:cs="Arial"/>
          <w:lang w:val="it-IT"/>
        </w:rPr>
        <w:t xml:space="preserve">Dosi, G., Fagiolo, G, Napoletano, M. &amp; Roventini, A. (2012). </w:t>
      </w:r>
      <w:r w:rsidRPr="002878EB">
        <w:rPr>
          <w:rFonts w:ascii="Arial" w:hAnsi="Arial" w:cs="Arial"/>
          <w:lang w:val="en-US"/>
        </w:rPr>
        <w:t xml:space="preserve">Income Distribution, Credit and Fiscal Policies </w:t>
      </w:r>
      <w:r>
        <w:rPr>
          <w:rFonts w:ascii="Arial" w:hAnsi="Arial" w:cs="Arial"/>
          <w:lang w:val="en-US"/>
        </w:rPr>
        <w:t xml:space="preserve">in an Agent-Based Keynesian Model. Retrieved December 27, 2018, from </w:t>
      </w:r>
      <w:r w:rsidRPr="002878EB">
        <w:rPr>
          <w:rFonts w:ascii="Arial" w:hAnsi="Arial" w:cs="Arial"/>
          <w:lang w:val="en-US"/>
        </w:rPr>
        <w:t>https://papers.ssrn.com/sol3/papers.cfm?abstract_id=1990209</w:t>
      </w:r>
    </w:p>
    <w:p w14:paraId="630DB013" w14:textId="77777777" w:rsidR="00E80771" w:rsidRPr="002878EB" w:rsidRDefault="00E80771" w:rsidP="001629E8">
      <w:pPr>
        <w:autoSpaceDE w:val="0"/>
        <w:autoSpaceDN w:val="0"/>
        <w:adjustRightInd w:val="0"/>
        <w:ind w:left="284" w:hanging="284"/>
        <w:rPr>
          <w:rFonts w:ascii="Arial" w:hAnsi="Arial" w:cs="Arial"/>
          <w:lang w:val="en-US"/>
        </w:rPr>
      </w:pPr>
    </w:p>
    <w:p w14:paraId="62E82114" w14:textId="386DA769" w:rsidR="00270CF3" w:rsidRPr="000206AC" w:rsidRDefault="00270CF3" w:rsidP="000206AC">
      <w:pPr>
        <w:spacing w:after="200" w:line="276" w:lineRule="auto"/>
        <w:ind w:left="284" w:hanging="284"/>
        <w:rPr>
          <w:rFonts w:ascii="Arial" w:hAnsi="Arial" w:cs="Arial"/>
          <w:lang w:val="en-US"/>
        </w:rPr>
      </w:pPr>
      <w:r w:rsidRPr="00270CF3">
        <w:rPr>
          <w:rFonts w:ascii="Arial" w:hAnsi="Arial" w:cs="Arial"/>
          <w:lang w:val="en-US"/>
        </w:rPr>
        <w:t xml:space="preserve">Fama, E. F. (1991). </w:t>
      </w:r>
      <w:r w:rsidRPr="00270CF3">
        <w:rPr>
          <w:rFonts w:ascii="Arial" w:hAnsi="Arial" w:cs="Arial"/>
          <w:i/>
          <w:iCs/>
          <w:lang w:val="en-US"/>
        </w:rPr>
        <w:t>Efficient Capital Markets: II.</w:t>
      </w:r>
      <w:r w:rsidRPr="00270CF3">
        <w:rPr>
          <w:rFonts w:ascii="Arial" w:hAnsi="Arial" w:cs="Arial"/>
          <w:lang w:val="en-US"/>
        </w:rPr>
        <w:t xml:space="preserve"> The Journal of Finance, Vol. 46(5), 1575-1617.</w:t>
      </w:r>
    </w:p>
    <w:p w14:paraId="3C8A6EB5" w14:textId="51340879" w:rsidR="008E71F5" w:rsidRDefault="008E71F5" w:rsidP="001629E8">
      <w:pPr>
        <w:autoSpaceDE w:val="0"/>
        <w:autoSpaceDN w:val="0"/>
        <w:adjustRightInd w:val="0"/>
        <w:ind w:left="284" w:hanging="284"/>
        <w:rPr>
          <w:rFonts w:ascii="Arial" w:hAnsi="Arial" w:cs="Arial"/>
          <w:lang w:val="en-US"/>
        </w:rPr>
      </w:pPr>
      <w:r>
        <w:rPr>
          <w:rFonts w:ascii="Arial" w:hAnsi="Arial" w:cs="Arial"/>
          <w:lang w:val="en-US"/>
        </w:rPr>
        <w:lastRenderedPageBreak/>
        <w:t>Farmer, J.D. &amp; Sidororwich, J.J. (1988). Can New Approaches to Non-linear Modelling Improve Economic Forecast. In Anderson, P.W., Kenneth, J.A, &amp; Pines, D. (Ed.). The Econonomy as an evolving complex System. New York: Addison-Wesley.</w:t>
      </w:r>
    </w:p>
    <w:p w14:paraId="25C5D9A5" w14:textId="77777777" w:rsidR="008E71F5" w:rsidRDefault="008E71F5" w:rsidP="001629E8">
      <w:pPr>
        <w:autoSpaceDE w:val="0"/>
        <w:autoSpaceDN w:val="0"/>
        <w:adjustRightInd w:val="0"/>
        <w:ind w:left="284" w:hanging="284"/>
        <w:rPr>
          <w:rFonts w:ascii="Arial" w:hAnsi="Arial" w:cs="Arial"/>
          <w:lang w:val="en-US"/>
        </w:rPr>
      </w:pPr>
    </w:p>
    <w:p w14:paraId="0B4E983E" w14:textId="79AF2BBB" w:rsidR="000E4AC9" w:rsidRDefault="000E4AC9" w:rsidP="001629E8">
      <w:pPr>
        <w:spacing w:line="276" w:lineRule="auto"/>
        <w:ind w:left="284" w:hanging="284"/>
        <w:rPr>
          <w:rFonts w:ascii="Arial" w:hAnsi="Arial" w:cs="Arial"/>
          <w:lang w:val="en-US"/>
        </w:rPr>
      </w:pPr>
      <w:r>
        <w:rPr>
          <w:rFonts w:ascii="Arial" w:hAnsi="Arial" w:cs="Arial"/>
          <w:lang w:val="en-US"/>
        </w:rPr>
        <w:t>Farmer, J.D. (2002). Market force, ecology and evolution. In Industrial and Corporate Change, Volume 11, Number 5, pp. 895-953.</w:t>
      </w:r>
    </w:p>
    <w:p w14:paraId="032E5154" w14:textId="77777777" w:rsidR="00C34B5A" w:rsidRDefault="00C34B5A" w:rsidP="001629E8">
      <w:pPr>
        <w:spacing w:line="276" w:lineRule="auto"/>
        <w:ind w:left="284" w:hanging="284"/>
        <w:rPr>
          <w:rFonts w:ascii="Arial" w:hAnsi="Arial" w:cs="Arial"/>
          <w:lang w:val="en-US"/>
        </w:rPr>
      </w:pPr>
    </w:p>
    <w:p w14:paraId="117BDA5A" w14:textId="552CCC3B" w:rsidR="00501801" w:rsidRPr="00501801" w:rsidRDefault="00501801" w:rsidP="001629E8">
      <w:pPr>
        <w:spacing w:line="276" w:lineRule="auto"/>
        <w:ind w:left="284" w:hanging="284"/>
        <w:rPr>
          <w:rFonts w:ascii="Arial" w:hAnsi="Arial" w:cs="Arial"/>
          <w:lang w:val="en-US"/>
        </w:rPr>
      </w:pPr>
      <w:r w:rsidRPr="00B1748A">
        <w:rPr>
          <w:rFonts w:ascii="Arial" w:hAnsi="Arial" w:cs="Arial"/>
          <w:lang w:val="it-IT"/>
        </w:rPr>
        <w:t xml:space="preserve">Feng, G., Gigilio, S. &amp; Xiu, D. (2020). </w:t>
      </w:r>
      <w:r w:rsidRPr="00501801">
        <w:rPr>
          <w:rFonts w:ascii="Arial" w:hAnsi="Arial" w:cs="Arial"/>
          <w:lang w:val="en-US"/>
        </w:rPr>
        <w:t>Taming the Factor Zoo : A</w:t>
      </w:r>
      <w:r>
        <w:rPr>
          <w:rFonts w:ascii="Arial" w:hAnsi="Arial" w:cs="Arial"/>
          <w:lang w:val="en-US"/>
        </w:rPr>
        <w:t xml:space="preserve"> Test of New Factors. </w:t>
      </w:r>
      <w:r w:rsidRPr="00B05866">
        <w:rPr>
          <w:rFonts w:ascii="Arial" w:hAnsi="Arial" w:cs="Arial"/>
          <w:i/>
          <w:iCs/>
          <w:lang w:val="en-US"/>
        </w:rPr>
        <w:t>The Journal of Finance</w:t>
      </w:r>
      <w:r>
        <w:rPr>
          <w:rFonts w:ascii="Arial" w:hAnsi="Arial" w:cs="Arial"/>
          <w:lang w:val="en-US"/>
        </w:rPr>
        <w:t xml:space="preserve">, Vol. </w:t>
      </w:r>
      <w:r w:rsidR="00C745D4">
        <w:rPr>
          <w:rFonts w:ascii="Arial" w:hAnsi="Arial" w:cs="Arial"/>
          <w:lang w:val="en-US"/>
        </w:rPr>
        <w:t>75(3), 1327-1370.</w:t>
      </w:r>
    </w:p>
    <w:p w14:paraId="258B334E" w14:textId="77777777" w:rsidR="00501801" w:rsidRPr="00501801" w:rsidRDefault="00501801" w:rsidP="001629E8">
      <w:pPr>
        <w:spacing w:line="276" w:lineRule="auto"/>
        <w:ind w:left="284" w:hanging="284"/>
        <w:rPr>
          <w:rFonts w:ascii="Arial" w:hAnsi="Arial" w:cs="Arial"/>
          <w:lang w:val="en-US"/>
        </w:rPr>
      </w:pPr>
    </w:p>
    <w:p w14:paraId="22F2B14D" w14:textId="5774591B" w:rsidR="00C34B5A" w:rsidRPr="00C34B5A" w:rsidRDefault="00C34B5A" w:rsidP="001629E8">
      <w:pPr>
        <w:spacing w:line="276" w:lineRule="auto"/>
        <w:ind w:left="284" w:hanging="284"/>
        <w:rPr>
          <w:rFonts w:ascii="Arial" w:hAnsi="Arial" w:cs="Arial"/>
          <w:lang w:val="en-US"/>
        </w:rPr>
      </w:pPr>
      <w:r w:rsidRPr="00596C8F">
        <w:rPr>
          <w:rFonts w:ascii="Arial" w:hAnsi="Arial" w:cs="Arial"/>
          <w:lang w:val="en-US"/>
        </w:rPr>
        <w:t xml:space="preserve">Feng, L., Li, B., Podobnik, B., Preis, T. &amp; Stanley, E. (2012). </w:t>
      </w:r>
      <w:r w:rsidRPr="00C34B5A">
        <w:rPr>
          <w:rFonts w:ascii="Arial" w:hAnsi="Arial" w:cs="Arial"/>
          <w:i/>
          <w:lang w:val="en-US"/>
        </w:rPr>
        <w:t>Linking agent-based models and stochastic models of financial markets.</w:t>
      </w:r>
      <w:r w:rsidRPr="00C34B5A">
        <w:t xml:space="preserve"> </w:t>
      </w:r>
      <w:r w:rsidRPr="00C34B5A">
        <w:rPr>
          <w:rFonts w:ascii="Arial" w:hAnsi="Arial" w:cs="Arial"/>
          <w:lang w:val="en-US"/>
        </w:rPr>
        <w:t>PNAS May 29, 2012 109 (22) 8388-8393</w:t>
      </w:r>
      <w:r>
        <w:rPr>
          <w:rFonts w:ascii="Arial" w:hAnsi="Arial" w:cs="Arial"/>
          <w:lang w:val="en-US"/>
        </w:rPr>
        <w:t xml:space="preserve">. </w:t>
      </w:r>
    </w:p>
    <w:p w14:paraId="61333998" w14:textId="77777777" w:rsidR="000E4AC9" w:rsidRPr="00C34B5A" w:rsidRDefault="000E4AC9" w:rsidP="001629E8">
      <w:pPr>
        <w:spacing w:line="276" w:lineRule="auto"/>
        <w:ind w:left="284" w:hanging="284"/>
        <w:rPr>
          <w:rFonts w:ascii="Arial" w:hAnsi="Arial" w:cs="Arial"/>
          <w:lang w:val="en-US"/>
        </w:rPr>
      </w:pPr>
    </w:p>
    <w:p w14:paraId="7BDE895B" w14:textId="4600034B" w:rsidR="001629E8" w:rsidRPr="005168CF" w:rsidRDefault="0025616B" w:rsidP="001629E8">
      <w:pPr>
        <w:spacing w:line="276" w:lineRule="auto"/>
        <w:ind w:left="284" w:hanging="284"/>
        <w:rPr>
          <w:rFonts w:ascii="Arial" w:hAnsi="Arial" w:cs="Arial"/>
          <w:lang w:val="en-US"/>
        </w:rPr>
      </w:pPr>
      <w:r w:rsidRPr="005168CF">
        <w:rPr>
          <w:rFonts w:ascii="Arial" w:hAnsi="Arial" w:cs="Arial"/>
          <w:lang w:val="en-US"/>
        </w:rPr>
        <w:t>Ferber</w:t>
      </w:r>
      <w:r w:rsidR="001629E8" w:rsidRPr="005168CF">
        <w:rPr>
          <w:rFonts w:ascii="Arial" w:hAnsi="Arial" w:cs="Arial"/>
          <w:lang w:val="en-US"/>
        </w:rPr>
        <w:t xml:space="preserve"> J. (1994): Simulating with</w:t>
      </w:r>
      <w:r w:rsidR="0053695B" w:rsidRPr="005168CF">
        <w:rPr>
          <w:rFonts w:ascii="Arial" w:hAnsi="Arial" w:cs="Arial"/>
          <w:lang w:val="en-US"/>
        </w:rPr>
        <w:t xml:space="preserve"> reactive agents. In Hillebrand E., Stender</w:t>
      </w:r>
      <w:r w:rsidR="001629E8" w:rsidRPr="005168CF">
        <w:rPr>
          <w:rFonts w:ascii="Arial" w:hAnsi="Arial" w:cs="Arial"/>
          <w:lang w:val="en-US"/>
        </w:rPr>
        <w:t xml:space="preserve"> J. (Ed.): Many – agent simulation and artificial life. Amsterdam: IOS Press, 1994.</w:t>
      </w:r>
    </w:p>
    <w:p w14:paraId="21525FE1" w14:textId="77777777" w:rsidR="006337C8" w:rsidRDefault="006337C8" w:rsidP="001629E8">
      <w:pPr>
        <w:spacing w:line="276" w:lineRule="auto"/>
        <w:ind w:left="284" w:hanging="284"/>
        <w:rPr>
          <w:rFonts w:ascii="Arial" w:hAnsi="Arial" w:cs="Arial"/>
          <w:shd w:val="clear" w:color="auto" w:fill="FFFFFF"/>
          <w:lang w:val="en-US"/>
        </w:rPr>
      </w:pPr>
    </w:p>
    <w:p w14:paraId="296D7FC4" w14:textId="603765C2" w:rsidR="001629E8" w:rsidRPr="005168CF" w:rsidRDefault="0025616B" w:rsidP="001629E8">
      <w:pPr>
        <w:spacing w:line="276" w:lineRule="auto"/>
        <w:ind w:left="284" w:hanging="284"/>
        <w:rPr>
          <w:rFonts w:ascii="Arial" w:hAnsi="Arial" w:cs="Arial"/>
          <w:shd w:val="clear" w:color="auto" w:fill="FFFFFF"/>
          <w:lang w:val="en-US"/>
        </w:rPr>
      </w:pPr>
      <w:r w:rsidRPr="005168CF">
        <w:rPr>
          <w:rFonts w:ascii="Arial" w:hAnsi="Arial" w:cs="Arial"/>
          <w:shd w:val="clear" w:color="auto" w:fill="FFFFFF"/>
          <w:lang w:val="en-US"/>
        </w:rPr>
        <w:t>Fischer T., Riedler</w:t>
      </w:r>
      <w:r w:rsidR="001629E8" w:rsidRPr="005168CF">
        <w:rPr>
          <w:rFonts w:ascii="Arial" w:hAnsi="Arial" w:cs="Arial"/>
          <w:shd w:val="clear" w:color="auto" w:fill="FFFFFF"/>
          <w:lang w:val="en-US"/>
        </w:rPr>
        <w:t xml:space="preserve"> J. (2014). Prices, debt and market structure in an agent-based model of the financial market.  Journal of Economic Dynamics &amp; Control 48 (2014) 95–120.</w:t>
      </w:r>
    </w:p>
    <w:p w14:paraId="44A00C5B" w14:textId="77777777" w:rsidR="00A54BD1" w:rsidRDefault="00A54BD1" w:rsidP="00A54BD1">
      <w:pPr>
        <w:spacing w:line="276" w:lineRule="auto"/>
        <w:ind w:left="284" w:hanging="284"/>
        <w:rPr>
          <w:rFonts w:ascii="Arial" w:hAnsi="Arial" w:cs="Arial"/>
          <w:shd w:val="clear" w:color="auto" w:fill="FFFFFF"/>
          <w:lang w:val="en-US"/>
        </w:rPr>
      </w:pPr>
    </w:p>
    <w:p w14:paraId="2CDFA092" w14:textId="1CB0C5C6" w:rsidR="00A54BD1" w:rsidRPr="00A54BD1" w:rsidRDefault="00A54BD1" w:rsidP="00A54BD1">
      <w:pPr>
        <w:spacing w:line="276" w:lineRule="auto"/>
        <w:ind w:left="284" w:hanging="284"/>
        <w:rPr>
          <w:rFonts w:ascii="Arial" w:hAnsi="Arial" w:cs="Arial"/>
          <w:shd w:val="clear" w:color="auto" w:fill="FFFFFF"/>
          <w:lang w:val="en-US"/>
        </w:rPr>
      </w:pPr>
      <w:r w:rsidRPr="00A54BD1">
        <w:rPr>
          <w:rFonts w:ascii="Arial" w:hAnsi="Arial" w:cs="Arial"/>
          <w:shd w:val="clear" w:color="auto" w:fill="FFFFFF"/>
          <w:lang w:val="en-US"/>
        </w:rPr>
        <w:t>Geanakoplos J., Axtell R., Farmer J.D., Howitt P., Conlee B., Goldstein J., Hendrey M., Palmer N.M., Yang Ch.-Y. (2012): Getting at Systemic Risk via an Agent-Based Model of the Housing Market. American Economic Review, Vol. 102 (3). pp. 53-58.</w:t>
      </w:r>
    </w:p>
    <w:p w14:paraId="1A1FC41A" w14:textId="77777777" w:rsidR="00A54BD1" w:rsidRPr="00A54BD1" w:rsidRDefault="00A54BD1" w:rsidP="00A54BD1">
      <w:pPr>
        <w:spacing w:line="276" w:lineRule="auto"/>
        <w:ind w:left="284" w:hanging="284"/>
        <w:rPr>
          <w:rFonts w:ascii="Arial" w:hAnsi="Arial" w:cs="Arial"/>
          <w:shd w:val="clear" w:color="auto" w:fill="FFFFFF"/>
          <w:lang w:val="en-US"/>
        </w:rPr>
      </w:pPr>
    </w:p>
    <w:p w14:paraId="008126FB" w14:textId="4FB2E2B9" w:rsidR="006337C8" w:rsidRDefault="00A54BD1" w:rsidP="00A54BD1">
      <w:pPr>
        <w:spacing w:line="276" w:lineRule="auto"/>
        <w:ind w:left="284" w:hanging="284"/>
        <w:rPr>
          <w:rFonts w:ascii="Arial" w:hAnsi="Arial" w:cs="Arial"/>
          <w:shd w:val="clear" w:color="auto" w:fill="FFFFFF"/>
          <w:lang w:val="en-US"/>
        </w:rPr>
      </w:pPr>
      <w:r w:rsidRPr="00A54BD1">
        <w:rPr>
          <w:rFonts w:ascii="Arial" w:hAnsi="Arial" w:cs="Arial"/>
          <w:shd w:val="clear" w:color="auto" w:fill="FFFFFF"/>
          <w:lang w:val="en-US"/>
        </w:rPr>
        <w:t>Gilbert N., Hawksworth J. C., Swinney P. A. (2009): An Agent-Based Model of the English Housing Market. In: Proceeding of: Technosocial Predictive Analytics, Papers from the 2009 AAAI Spring Symposium. Stanford, California, USA.</w:t>
      </w:r>
    </w:p>
    <w:p w14:paraId="5E155FBF" w14:textId="77777777" w:rsidR="00A54BD1" w:rsidRDefault="00A54BD1" w:rsidP="001629E8">
      <w:pPr>
        <w:spacing w:line="276" w:lineRule="auto"/>
        <w:ind w:left="284" w:hanging="284"/>
        <w:rPr>
          <w:rFonts w:ascii="Arial" w:hAnsi="Arial" w:cs="Arial"/>
          <w:lang w:val="en-US"/>
        </w:rPr>
      </w:pPr>
    </w:p>
    <w:p w14:paraId="65134693" w14:textId="4EFD534D" w:rsidR="00F72E97" w:rsidRPr="005168CF" w:rsidRDefault="00F72E97" w:rsidP="001629E8">
      <w:pPr>
        <w:spacing w:line="276" w:lineRule="auto"/>
        <w:ind w:left="284" w:hanging="284"/>
        <w:rPr>
          <w:rFonts w:ascii="Arial" w:hAnsi="Arial" w:cs="Arial"/>
          <w:lang w:val="en-US"/>
        </w:rPr>
      </w:pPr>
      <w:r>
        <w:rPr>
          <w:rFonts w:ascii="Arial" w:hAnsi="Arial" w:cs="Arial"/>
          <w:lang w:val="en-US"/>
        </w:rPr>
        <w:t>Holland, J.H. (1988). The Global Economy as an Adaptive Process. In Anderson, P.W., Kenneth, J.A, &amp; Pines, D. (Ed.)</w:t>
      </w:r>
      <w:r w:rsidR="00FF1EF0">
        <w:rPr>
          <w:rFonts w:ascii="Arial" w:hAnsi="Arial" w:cs="Arial"/>
          <w:lang w:val="en-US"/>
        </w:rPr>
        <w:t>. The Econonomy as an evolving complex System. New York: Addison-Wesley.</w:t>
      </w:r>
    </w:p>
    <w:p w14:paraId="79AA9C42" w14:textId="77777777" w:rsidR="00F72E97" w:rsidRDefault="00F72E97" w:rsidP="001629E8">
      <w:pPr>
        <w:spacing w:line="276" w:lineRule="auto"/>
        <w:ind w:left="284" w:hanging="284"/>
        <w:rPr>
          <w:rFonts w:ascii="Arial" w:hAnsi="Arial" w:cs="Arial"/>
          <w:lang w:val="en-US"/>
        </w:rPr>
      </w:pPr>
    </w:p>
    <w:p w14:paraId="411E75B7" w14:textId="474CE36A" w:rsidR="00E8140F" w:rsidRPr="005168CF" w:rsidRDefault="0053695B" w:rsidP="001629E8">
      <w:pPr>
        <w:spacing w:line="276" w:lineRule="auto"/>
        <w:ind w:left="284" w:hanging="284"/>
        <w:rPr>
          <w:rFonts w:ascii="Arial" w:hAnsi="Arial" w:cs="Arial"/>
          <w:shd w:val="clear" w:color="auto" w:fill="FFFFFF"/>
          <w:lang w:val="en-US"/>
        </w:rPr>
      </w:pPr>
      <w:r w:rsidRPr="005168CF">
        <w:rPr>
          <w:rFonts w:ascii="Arial" w:hAnsi="Arial" w:cs="Arial"/>
          <w:lang w:val="en-US"/>
        </w:rPr>
        <w:t>Hommes C.A.</w:t>
      </w:r>
      <w:r w:rsidR="00E8140F" w:rsidRPr="005168CF">
        <w:rPr>
          <w:rFonts w:ascii="Arial" w:hAnsi="Arial" w:cs="Arial"/>
          <w:lang w:val="en-US"/>
        </w:rPr>
        <w:t xml:space="preserve"> (2006)</w:t>
      </w:r>
      <w:r w:rsidR="00DF7148">
        <w:rPr>
          <w:rFonts w:ascii="Arial" w:hAnsi="Arial" w:cs="Arial"/>
          <w:lang w:val="en-US"/>
        </w:rPr>
        <w:t>.</w:t>
      </w:r>
      <w:r w:rsidR="00E8140F" w:rsidRPr="005168CF">
        <w:rPr>
          <w:rFonts w:ascii="Arial" w:hAnsi="Arial" w:cs="Arial"/>
          <w:lang w:val="en-US"/>
        </w:rPr>
        <w:t xml:space="preserve"> Hetreogeneous Agent Models in Economics and Finance. In: Tesfatsion L, Judd K. L. (editors; 2006): Handbook of Computational Economics – Agent-Based Computational Economics. Vol. 2. North-Holland</w:t>
      </w:r>
      <w:r w:rsidR="00E8140F" w:rsidRPr="005168CF">
        <w:rPr>
          <w:rFonts w:ascii="Arial" w:hAnsi="Arial" w:cs="Arial"/>
          <w:shd w:val="clear" w:color="auto" w:fill="FFFFFF"/>
          <w:lang w:val="en-US"/>
        </w:rPr>
        <w:t>, Amsterdam.</w:t>
      </w:r>
    </w:p>
    <w:p w14:paraId="3683E53D" w14:textId="77777777" w:rsidR="00B57835" w:rsidRDefault="00B57835" w:rsidP="00B27A5A">
      <w:pPr>
        <w:spacing w:line="276" w:lineRule="auto"/>
        <w:ind w:left="284" w:hanging="284"/>
        <w:rPr>
          <w:rFonts w:ascii="Arial" w:hAnsi="Arial" w:cs="Arial"/>
          <w:lang w:val="en-US"/>
        </w:rPr>
      </w:pPr>
    </w:p>
    <w:p w14:paraId="519AAD90" w14:textId="77777777" w:rsidR="0046778F" w:rsidRPr="0046778F" w:rsidRDefault="0046778F" w:rsidP="0046778F">
      <w:pPr>
        <w:spacing w:line="276" w:lineRule="auto"/>
        <w:ind w:left="284" w:hanging="284"/>
        <w:rPr>
          <w:rFonts w:ascii="Arial" w:hAnsi="Arial" w:cs="Arial"/>
          <w:lang w:val="en-US"/>
        </w:rPr>
      </w:pPr>
      <w:r w:rsidRPr="0046778F">
        <w:rPr>
          <w:rFonts w:ascii="Arial" w:hAnsi="Arial" w:cs="Arial"/>
          <w:lang w:val="en-US"/>
        </w:rPr>
        <w:t>IAZI (2013a): SWX IAZI Investment Real Estate Price Index. Data obtained from IAZI CIFI. http://www.iazicifi.ch/de/transaktionsindizes.php</w:t>
      </w:r>
    </w:p>
    <w:p w14:paraId="36016114" w14:textId="77777777" w:rsidR="0046778F" w:rsidRPr="0046778F" w:rsidRDefault="0046778F" w:rsidP="0046778F">
      <w:pPr>
        <w:spacing w:line="276" w:lineRule="auto"/>
        <w:ind w:left="284" w:hanging="284"/>
        <w:rPr>
          <w:rFonts w:ascii="Arial" w:hAnsi="Arial" w:cs="Arial"/>
          <w:lang w:val="en-US"/>
        </w:rPr>
      </w:pPr>
    </w:p>
    <w:p w14:paraId="6DF60817" w14:textId="77777777" w:rsidR="0046778F" w:rsidRPr="0046778F" w:rsidRDefault="0046778F" w:rsidP="0046778F">
      <w:pPr>
        <w:spacing w:line="276" w:lineRule="auto"/>
        <w:ind w:left="284" w:hanging="284"/>
        <w:rPr>
          <w:rFonts w:ascii="Arial" w:hAnsi="Arial" w:cs="Arial"/>
          <w:lang w:val="en-US"/>
        </w:rPr>
      </w:pPr>
      <w:r w:rsidRPr="0046778F">
        <w:rPr>
          <w:rFonts w:ascii="Arial" w:hAnsi="Arial" w:cs="Arial"/>
          <w:lang w:val="en-US"/>
        </w:rPr>
        <w:t>IAZI (2013b): SWX IAZI Private Real Estate Price Index. Data obtained from IAZI CIFI. http://www.iazicifi.ch/de/transaktionsindizes.php</w:t>
      </w:r>
    </w:p>
    <w:p w14:paraId="52137D98" w14:textId="77777777" w:rsidR="0046778F" w:rsidRDefault="0046778F" w:rsidP="00B27A5A">
      <w:pPr>
        <w:spacing w:line="276" w:lineRule="auto"/>
        <w:ind w:left="284" w:hanging="284"/>
        <w:rPr>
          <w:rFonts w:ascii="Arial" w:hAnsi="Arial" w:cs="Arial"/>
          <w:lang w:val="en-US"/>
        </w:rPr>
      </w:pPr>
    </w:p>
    <w:p w14:paraId="46305007" w14:textId="12A153AB" w:rsidR="00DF7148" w:rsidRDefault="00DF7148" w:rsidP="00B27A5A">
      <w:pPr>
        <w:spacing w:line="276" w:lineRule="auto"/>
        <w:ind w:left="284" w:hanging="284"/>
        <w:rPr>
          <w:rFonts w:ascii="Arial" w:hAnsi="Arial" w:cs="Arial"/>
          <w:lang w:val="en-US"/>
        </w:rPr>
      </w:pPr>
      <w:r w:rsidRPr="00DF7148">
        <w:rPr>
          <w:rFonts w:ascii="Arial" w:hAnsi="Arial" w:cs="Arial"/>
          <w:lang w:val="en-US"/>
        </w:rPr>
        <w:lastRenderedPageBreak/>
        <w:t>Jensen, M. C. (1978)</w:t>
      </w:r>
      <w:r>
        <w:rPr>
          <w:rFonts w:ascii="Arial" w:hAnsi="Arial" w:cs="Arial"/>
          <w:lang w:val="en-US"/>
        </w:rPr>
        <w:t>.</w:t>
      </w:r>
      <w:r w:rsidRPr="00DF7148">
        <w:rPr>
          <w:rFonts w:ascii="Arial" w:hAnsi="Arial" w:cs="Arial"/>
          <w:lang w:val="en-US"/>
        </w:rPr>
        <w:t xml:space="preserve"> </w:t>
      </w:r>
      <w:r w:rsidRPr="00DF7148">
        <w:rPr>
          <w:rFonts w:ascii="Arial" w:hAnsi="Arial" w:cs="Arial"/>
          <w:i/>
          <w:iCs/>
          <w:lang w:val="en-US"/>
        </w:rPr>
        <w:t>Some anomalous evidence regarding market efficiency.</w:t>
      </w:r>
      <w:r w:rsidRPr="00DF7148">
        <w:rPr>
          <w:rFonts w:ascii="Arial" w:hAnsi="Arial" w:cs="Arial"/>
          <w:lang w:val="en-US"/>
        </w:rPr>
        <w:t xml:space="preserve"> Journal of Financial Economics 6, 95-101.</w:t>
      </w:r>
    </w:p>
    <w:p w14:paraId="6858BBA8" w14:textId="77777777" w:rsidR="00B80FA9" w:rsidRDefault="00B80FA9" w:rsidP="00B27A5A">
      <w:pPr>
        <w:spacing w:line="276" w:lineRule="auto"/>
        <w:ind w:left="284" w:hanging="284"/>
        <w:rPr>
          <w:rFonts w:ascii="Arial" w:hAnsi="Arial" w:cs="Arial"/>
          <w:lang w:val="en-US"/>
        </w:rPr>
      </w:pPr>
    </w:p>
    <w:p w14:paraId="3A3A4763" w14:textId="10ECD29E" w:rsidR="00DF7148" w:rsidRDefault="0046778F" w:rsidP="00B27A5A">
      <w:pPr>
        <w:spacing w:line="276" w:lineRule="auto"/>
        <w:ind w:left="284" w:hanging="284"/>
        <w:rPr>
          <w:rFonts w:ascii="Arial" w:hAnsi="Arial" w:cs="Arial"/>
          <w:lang w:val="en-US"/>
        </w:rPr>
      </w:pPr>
      <w:r w:rsidRPr="0046778F">
        <w:rPr>
          <w:rFonts w:ascii="Arial" w:hAnsi="Arial" w:cs="Arial"/>
          <w:lang w:val="en-US"/>
        </w:rPr>
        <w:t>Jordan R, Birkin M., Evans A. (2012): Agent-Based Modelling of Residential Mobility, Housing Choice and Regeneration. In: Heppenstal, A.J., Crooks, A.T., See, L.M., Batty, M. (editors, 2012), Agent-Based Models of Geographical Systems. Dordrecht: Springer Science + Business Media. DOI 10.1007/978-90-481-8927-4_25</w:t>
      </w:r>
    </w:p>
    <w:p w14:paraId="6FD8382A" w14:textId="77777777" w:rsidR="0046778F" w:rsidRDefault="0046778F" w:rsidP="00B27A5A">
      <w:pPr>
        <w:spacing w:line="276" w:lineRule="auto"/>
        <w:ind w:left="284" w:hanging="284"/>
        <w:rPr>
          <w:rFonts w:ascii="Arial" w:hAnsi="Arial" w:cs="Arial"/>
          <w:lang w:val="en-US"/>
        </w:rPr>
      </w:pPr>
    </w:p>
    <w:p w14:paraId="6F863AA2" w14:textId="523B7F8A" w:rsidR="000A2C23" w:rsidRPr="000A2C23" w:rsidRDefault="000A2C23" w:rsidP="00B27A5A">
      <w:pPr>
        <w:spacing w:line="276" w:lineRule="auto"/>
        <w:ind w:left="284" w:hanging="284"/>
        <w:rPr>
          <w:rFonts w:ascii="Arial" w:hAnsi="Arial" w:cs="Arial"/>
          <w:lang w:val="en-US"/>
        </w:rPr>
      </w:pPr>
      <w:r w:rsidRPr="001D2C89">
        <w:rPr>
          <w:rFonts w:ascii="Arial" w:hAnsi="Arial" w:cs="Arial"/>
          <w:lang w:val="en-US"/>
        </w:rPr>
        <w:t xml:space="preserve">Karimi, M.S. &amp; Maleki, A. (2018). </w:t>
      </w:r>
      <w:r w:rsidRPr="000A2C23">
        <w:rPr>
          <w:rFonts w:ascii="Arial" w:hAnsi="Arial" w:cs="Arial"/>
          <w:lang w:val="en-US"/>
        </w:rPr>
        <w:t xml:space="preserve">The Study of Different </w:t>
      </w:r>
      <w:r>
        <w:rPr>
          <w:rFonts w:ascii="Arial" w:hAnsi="Arial" w:cs="Arial"/>
          <w:lang w:val="en-US"/>
        </w:rPr>
        <w:t xml:space="preserve">Factors’ Effects on the Oil Futures Price by Applying Agent-based Model. </w:t>
      </w:r>
      <w:r w:rsidRPr="000A2C23">
        <w:rPr>
          <w:rFonts w:ascii="Arial" w:hAnsi="Arial" w:cs="Arial"/>
          <w:i/>
          <w:iCs/>
          <w:lang w:val="en-US"/>
        </w:rPr>
        <w:t>International Journal of Energy Economics and Policy, 8(3),</w:t>
      </w:r>
      <w:r w:rsidRPr="000A2C23">
        <w:rPr>
          <w:rFonts w:ascii="Arial" w:hAnsi="Arial" w:cs="Arial"/>
          <w:lang w:val="en-US"/>
        </w:rPr>
        <w:t xml:space="preserve"> 76-81.</w:t>
      </w:r>
    </w:p>
    <w:p w14:paraId="6DD81129" w14:textId="77777777" w:rsidR="000A2C23" w:rsidRPr="000A2C23" w:rsidRDefault="000A2C23" w:rsidP="00B27A5A">
      <w:pPr>
        <w:spacing w:line="276" w:lineRule="auto"/>
        <w:ind w:left="284" w:hanging="284"/>
        <w:rPr>
          <w:rFonts w:ascii="Arial" w:hAnsi="Arial" w:cs="Arial"/>
          <w:lang w:val="en-US"/>
        </w:rPr>
      </w:pPr>
    </w:p>
    <w:p w14:paraId="677BFCDD" w14:textId="7A9D7A37" w:rsidR="00C63971" w:rsidRPr="00E84B23" w:rsidRDefault="00C63971" w:rsidP="00C63971">
      <w:pPr>
        <w:spacing w:line="276" w:lineRule="auto"/>
        <w:ind w:left="284" w:hanging="284"/>
        <w:rPr>
          <w:rFonts w:ascii="Arial" w:hAnsi="Arial" w:cs="Arial"/>
          <w:lang w:val="en-US"/>
        </w:rPr>
      </w:pPr>
      <w:r w:rsidRPr="00A37B84">
        <w:rPr>
          <w:rFonts w:ascii="Arial" w:hAnsi="Arial" w:cs="Arial"/>
          <w:lang w:val="en-US"/>
        </w:rPr>
        <w:t xml:space="preserve">Kostadinov, F. &amp; Ankenbrand, T. (2013a). </w:t>
      </w:r>
      <w:r>
        <w:rPr>
          <w:rFonts w:ascii="Arial" w:hAnsi="Arial" w:cs="Arial"/>
          <w:i/>
          <w:lang w:val="en-US"/>
        </w:rPr>
        <w:t>Agent-based modelling and the Swiss r</w:t>
      </w:r>
      <w:r w:rsidRPr="00C63971">
        <w:rPr>
          <w:rFonts w:ascii="Arial" w:hAnsi="Arial" w:cs="Arial"/>
          <w:i/>
          <w:lang w:val="en-US"/>
        </w:rPr>
        <w:t xml:space="preserve">eal </w:t>
      </w:r>
      <w:r>
        <w:rPr>
          <w:rFonts w:ascii="Arial" w:hAnsi="Arial" w:cs="Arial"/>
          <w:i/>
          <w:lang w:val="en-US"/>
        </w:rPr>
        <w:t>e</w:t>
      </w:r>
      <w:r w:rsidRPr="00C63971">
        <w:rPr>
          <w:rFonts w:ascii="Arial" w:hAnsi="Arial" w:cs="Arial"/>
          <w:i/>
          <w:lang w:val="en-US"/>
        </w:rPr>
        <w:t xml:space="preserve">state </w:t>
      </w:r>
      <w:r>
        <w:rPr>
          <w:rFonts w:ascii="Arial" w:hAnsi="Arial" w:cs="Arial"/>
          <w:i/>
          <w:lang w:val="en-US"/>
        </w:rPr>
        <w:t>m</w:t>
      </w:r>
      <w:r w:rsidRPr="00C63971">
        <w:rPr>
          <w:rFonts w:ascii="Arial" w:hAnsi="Arial" w:cs="Arial"/>
          <w:i/>
          <w:lang w:val="en-US"/>
        </w:rPr>
        <w:t>a</w:t>
      </w:r>
      <w:r>
        <w:rPr>
          <w:rFonts w:ascii="Arial" w:hAnsi="Arial" w:cs="Arial"/>
          <w:i/>
          <w:lang w:val="en-US"/>
        </w:rPr>
        <w:t>rke.</w:t>
      </w:r>
      <w:r>
        <w:rPr>
          <w:rFonts w:ascii="Arial" w:hAnsi="Arial" w:cs="Arial"/>
          <w:lang w:val="en-US"/>
        </w:rPr>
        <w:t xml:space="preserve"> Working Paper I/2013, AVACO AG.</w:t>
      </w:r>
    </w:p>
    <w:p w14:paraId="43B75CE3" w14:textId="77777777" w:rsidR="00E84B23" w:rsidRPr="00E84B23" w:rsidRDefault="00E84B23" w:rsidP="00B27A5A">
      <w:pPr>
        <w:spacing w:line="276" w:lineRule="auto"/>
        <w:ind w:left="284" w:hanging="284"/>
        <w:rPr>
          <w:rFonts w:ascii="Arial" w:hAnsi="Arial" w:cs="Arial"/>
          <w:lang w:val="en-US"/>
        </w:rPr>
      </w:pPr>
    </w:p>
    <w:p w14:paraId="771B057A" w14:textId="50781BB7" w:rsidR="00030286" w:rsidRPr="00030286" w:rsidRDefault="00030286" w:rsidP="00B27A5A">
      <w:pPr>
        <w:spacing w:line="276" w:lineRule="auto"/>
        <w:ind w:left="284" w:hanging="284"/>
        <w:rPr>
          <w:rFonts w:ascii="Arial" w:hAnsi="Arial" w:cs="Arial"/>
          <w:lang w:val="en-US"/>
        </w:rPr>
      </w:pPr>
      <w:r w:rsidRPr="00E80771">
        <w:rPr>
          <w:rFonts w:ascii="Arial" w:hAnsi="Arial" w:cs="Arial"/>
          <w:lang w:val="en-US"/>
        </w:rPr>
        <w:t xml:space="preserve">Kukacka, J. &amp; Barunik, J. (2012). </w:t>
      </w:r>
      <w:r w:rsidRPr="00030286">
        <w:rPr>
          <w:rFonts w:ascii="Arial" w:hAnsi="Arial" w:cs="Arial"/>
          <w:i/>
          <w:lang w:val="en-US"/>
        </w:rPr>
        <w:t>Behavioural breaks in the heterogeneous agent model: the impact of herding, overconfidence, and market sentiment.</w:t>
      </w:r>
      <w:r w:rsidRPr="00030286">
        <w:t xml:space="preserve"> </w:t>
      </w:r>
      <w:r w:rsidRPr="00030286">
        <w:rPr>
          <w:rFonts w:ascii="Arial" w:hAnsi="Arial" w:cs="Arial"/>
          <w:lang w:val="en-US"/>
        </w:rPr>
        <w:t>https://arxiv.org/abs/1205.3763</w:t>
      </w:r>
    </w:p>
    <w:p w14:paraId="62AE049E" w14:textId="77777777" w:rsidR="00030286" w:rsidRPr="00030286" w:rsidRDefault="00030286" w:rsidP="00B27A5A">
      <w:pPr>
        <w:spacing w:line="276" w:lineRule="auto"/>
        <w:ind w:left="284" w:hanging="284"/>
        <w:rPr>
          <w:rFonts w:ascii="Arial" w:hAnsi="Arial" w:cs="Arial"/>
          <w:lang w:val="en-US"/>
        </w:rPr>
      </w:pPr>
    </w:p>
    <w:p w14:paraId="07E80C0B" w14:textId="7DC0ACDA" w:rsidR="00AA2257" w:rsidRDefault="00AA2257" w:rsidP="00B27A5A">
      <w:pPr>
        <w:spacing w:line="276" w:lineRule="auto"/>
        <w:ind w:left="284" w:hanging="284"/>
        <w:rPr>
          <w:rFonts w:ascii="Arial" w:hAnsi="Arial" w:cs="Arial"/>
          <w:lang w:val="en-US"/>
        </w:rPr>
      </w:pPr>
      <w:r w:rsidRPr="00E80771">
        <w:rPr>
          <w:rFonts w:ascii="Arial" w:hAnsi="Arial" w:cs="Arial"/>
          <w:lang w:val="en-US"/>
        </w:rPr>
        <w:t xml:space="preserve">Lansing, K.J. &amp; Tubbs, M. (2018). </w:t>
      </w:r>
      <w:r w:rsidRPr="00AA2257">
        <w:rPr>
          <w:rFonts w:ascii="Arial" w:hAnsi="Arial" w:cs="Arial"/>
          <w:i/>
          <w:lang w:val="en-US"/>
        </w:rPr>
        <w:t>Using Sentiment and Momentum to Predict Stock Returns.</w:t>
      </w:r>
      <w:r>
        <w:rPr>
          <w:rFonts w:ascii="Arial" w:hAnsi="Arial" w:cs="Arial"/>
          <w:lang w:val="en-US"/>
        </w:rPr>
        <w:t xml:space="preserve"> FRBSF Economic Letter.</w:t>
      </w:r>
    </w:p>
    <w:p w14:paraId="6C22AF53" w14:textId="77777777" w:rsidR="00AA2257" w:rsidRDefault="00AA2257" w:rsidP="00B27A5A">
      <w:pPr>
        <w:spacing w:line="276" w:lineRule="auto"/>
        <w:ind w:left="284" w:hanging="284"/>
        <w:rPr>
          <w:rFonts w:ascii="Arial" w:hAnsi="Arial" w:cs="Arial"/>
          <w:lang w:val="en-US"/>
        </w:rPr>
      </w:pPr>
    </w:p>
    <w:p w14:paraId="34EA1BC2" w14:textId="0BE87585" w:rsidR="007876A9" w:rsidRDefault="006011DD" w:rsidP="00B27A5A">
      <w:pPr>
        <w:spacing w:line="276" w:lineRule="auto"/>
        <w:ind w:left="284" w:hanging="284"/>
        <w:rPr>
          <w:rFonts w:ascii="Arial" w:hAnsi="Arial" w:cs="Arial"/>
          <w:shd w:val="clear" w:color="auto" w:fill="FFFFFF"/>
          <w:lang w:val="en-US"/>
        </w:rPr>
      </w:pPr>
      <w:r w:rsidRPr="005168CF">
        <w:rPr>
          <w:rFonts w:ascii="Arial" w:hAnsi="Arial" w:cs="Arial"/>
          <w:lang w:val="en-US"/>
        </w:rPr>
        <w:t>LeBaron</w:t>
      </w:r>
      <w:r w:rsidR="00B57835">
        <w:rPr>
          <w:rFonts w:ascii="Arial" w:hAnsi="Arial" w:cs="Arial"/>
          <w:lang w:val="en-US"/>
        </w:rPr>
        <w:t>, B. (2006).</w:t>
      </w:r>
      <w:r w:rsidRPr="005168CF">
        <w:rPr>
          <w:rFonts w:ascii="Arial" w:hAnsi="Arial" w:cs="Arial"/>
          <w:lang w:val="en-US"/>
        </w:rPr>
        <w:t xml:space="preserve"> Agent-Based Computational Finance.</w:t>
      </w:r>
      <w:r w:rsidR="008A4B10" w:rsidRPr="005168CF">
        <w:rPr>
          <w:rFonts w:ascii="Arial" w:hAnsi="Arial" w:cs="Arial"/>
          <w:lang w:val="en-US"/>
        </w:rPr>
        <w:t xml:space="preserve"> </w:t>
      </w:r>
      <w:r w:rsidR="00B57835">
        <w:rPr>
          <w:rFonts w:ascii="Arial" w:hAnsi="Arial" w:cs="Arial"/>
          <w:lang w:val="en-US"/>
        </w:rPr>
        <w:t>In</w:t>
      </w:r>
      <w:r w:rsidR="007876A9" w:rsidRPr="005168CF">
        <w:rPr>
          <w:rFonts w:ascii="Arial" w:hAnsi="Arial" w:cs="Arial"/>
          <w:lang w:val="en-US"/>
        </w:rPr>
        <w:t xml:space="preserve"> Tesfatsion</w:t>
      </w:r>
      <w:r w:rsidR="00B57835">
        <w:rPr>
          <w:rFonts w:ascii="Arial" w:hAnsi="Arial" w:cs="Arial"/>
          <w:lang w:val="en-US"/>
        </w:rPr>
        <w:t>,</w:t>
      </w:r>
      <w:r w:rsidR="007876A9" w:rsidRPr="005168CF">
        <w:rPr>
          <w:rFonts w:ascii="Arial" w:hAnsi="Arial" w:cs="Arial"/>
          <w:lang w:val="en-US"/>
        </w:rPr>
        <w:t xml:space="preserve"> L</w:t>
      </w:r>
      <w:r w:rsidR="00B57835">
        <w:rPr>
          <w:rFonts w:ascii="Arial" w:hAnsi="Arial" w:cs="Arial"/>
          <w:lang w:val="en-US"/>
        </w:rPr>
        <w:t>. &amp;</w:t>
      </w:r>
      <w:r w:rsidR="007876A9" w:rsidRPr="005168CF">
        <w:rPr>
          <w:rFonts w:ascii="Arial" w:hAnsi="Arial" w:cs="Arial"/>
          <w:lang w:val="en-US"/>
        </w:rPr>
        <w:t xml:space="preserve"> Judd</w:t>
      </w:r>
      <w:r w:rsidR="00B57835">
        <w:rPr>
          <w:rFonts w:ascii="Arial" w:hAnsi="Arial" w:cs="Arial"/>
          <w:lang w:val="en-US"/>
        </w:rPr>
        <w:t>, K. L. (Ed.).</w:t>
      </w:r>
      <w:r w:rsidR="007876A9" w:rsidRPr="005168CF">
        <w:rPr>
          <w:rFonts w:ascii="Arial" w:hAnsi="Arial" w:cs="Arial"/>
          <w:lang w:val="en-US"/>
        </w:rPr>
        <w:t xml:space="preserve"> Handb</w:t>
      </w:r>
      <w:r w:rsidR="00B57835">
        <w:rPr>
          <w:rFonts w:ascii="Arial" w:hAnsi="Arial" w:cs="Arial"/>
          <w:lang w:val="en-US"/>
        </w:rPr>
        <w:t>ook of Computational Economics -</w:t>
      </w:r>
      <w:r w:rsidR="007876A9" w:rsidRPr="005168CF">
        <w:rPr>
          <w:rFonts w:ascii="Arial" w:hAnsi="Arial" w:cs="Arial"/>
          <w:lang w:val="en-US"/>
        </w:rPr>
        <w:t xml:space="preserve"> Agent-Based Computational </w:t>
      </w:r>
      <w:r w:rsidR="00B57835">
        <w:rPr>
          <w:rFonts w:ascii="Arial" w:hAnsi="Arial" w:cs="Arial"/>
          <w:lang w:val="en-US"/>
        </w:rPr>
        <w:t xml:space="preserve">Economics. Vol. 2. </w:t>
      </w:r>
      <w:r w:rsidR="007876A9" w:rsidRPr="005168CF">
        <w:rPr>
          <w:rFonts w:ascii="Arial" w:hAnsi="Arial" w:cs="Arial"/>
          <w:shd w:val="clear" w:color="auto" w:fill="FFFFFF"/>
          <w:lang w:val="en-US"/>
        </w:rPr>
        <w:t>Amsterdam</w:t>
      </w:r>
      <w:r w:rsidR="00B57835">
        <w:rPr>
          <w:rFonts w:ascii="Arial" w:hAnsi="Arial" w:cs="Arial"/>
          <w:shd w:val="clear" w:color="auto" w:fill="FFFFFF"/>
          <w:lang w:val="en-US"/>
        </w:rPr>
        <w:t>: North-Holland</w:t>
      </w:r>
      <w:r w:rsidR="007876A9" w:rsidRPr="005168CF">
        <w:rPr>
          <w:rFonts w:ascii="Arial" w:hAnsi="Arial" w:cs="Arial"/>
          <w:shd w:val="clear" w:color="auto" w:fill="FFFFFF"/>
          <w:lang w:val="en-US"/>
        </w:rPr>
        <w:t>.</w:t>
      </w:r>
    </w:p>
    <w:p w14:paraId="74AA89D4" w14:textId="77777777" w:rsidR="00111079" w:rsidRDefault="00111079" w:rsidP="00B27A5A">
      <w:pPr>
        <w:spacing w:line="276" w:lineRule="auto"/>
        <w:ind w:left="284" w:hanging="284"/>
        <w:rPr>
          <w:rFonts w:ascii="Arial" w:hAnsi="Arial" w:cs="Arial"/>
          <w:shd w:val="clear" w:color="auto" w:fill="FFFFFF"/>
          <w:lang w:val="en-US"/>
        </w:rPr>
      </w:pPr>
    </w:p>
    <w:p w14:paraId="1F1289B4" w14:textId="67B77204" w:rsidR="00A16D17" w:rsidRPr="00A37B84" w:rsidRDefault="00A16D17" w:rsidP="00B27A5A">
      <w:pPr>
        <w:spacing w:line="276" w:lineRule="auto"/>
        <w:ind w:left="284" w:hanging="284"/>
        <w:rPr>
          <w:rFonts w:ascii="Arial" w:hAnsi="Arial" w:cs="Arial"/>
          <w:shd w:val="clear" w:color="auto" w:fill="FFFFFF"/>
          <w:lang w:val="it-IT"/>
        </w:rPr>
      </w:pPr>
      <w:r w:rsidRPr="00B1748A">
        <w:rPr>
          <w:rFonts w:ascii="Arial" w:hAnsi="Arial" w:cs="Arial"/>
          <w:shd w:val="clear" w:color="auto" w:fill="FFFFFF"/>
          <w:lang w:val="en-US"/>
        </w:rPr>
        <w:t xml:space="preserve">Leal, S. J., Napoletano, M., Roventini, A., Faiolo, G. (2014). </w:t>
      </w:r>
      <w:r>
        <w:rPr>
          <w:rFonts w:ascii="Arial" w:hAnsi="Arial" w:cs="Arial"/>
          <w:shd w:val="clear" w:color="auto" w:fill="FFFFFF"/>
          <w:lang w:val="en-US"/>
        </w:rPr>
        <w:t xml:space="preserve">Rock around the Clock: An Agent-Based Model of Low and High-Frequency Trading. </w:t>
      </w:r>
      <w:r w:rsidRPr="00A37B84">
        <w:rPr>
          <w:rFonts w:ascii="Arial" w:hAnsi="Arial" w:cs="Arial"/>
          <w:shd w:val="clear" w:color="auto" w:fill="FFFFFF"/>
          <w:lang w:val="it-IT"/>
        </w:rPr>
        <w:t xml:space="preserve">GREDEG Working Paper No. 2014-21. </w:t>
      </w:r>
    </w:p>
    <w:p w14:paraId="25398174" w14:textId="77777777" w:rsidR="00A16D17" w:rsidRPr="00A37B84" w:rsidRDefault="00A16D17" w:rsidP="00B27A5A">
      <w:pPr>
        <w:spacing w:line="276" w:lineRule="auto"/>
        <w:ind w:left="284" w:hanging="284"/>
        <w:rPr>
          <w:rFonts w:ascii="Arial" w:hAnsi="Arial" w:cs="Arial"/>
          <w:shd w:val="clear" w:color="auto" w:fill="FFFFFF"/>
          <w:lang w:val="it-IT"/>
        </w:rPr>
      </w:pPr>
    </w:p>
    <w:p w14:paraId="26987F41" w14:textId="6E6BCFEC" w:rsidR="00B00300" w:rsidRDefault="00B00300" w:rsidP="00B00300">
      <w:pPr>
        <w:spacing w:line="276" w:lineRule="auto"/>
        <w:ind w:left="284" w:hanging="284"/>
        <w:rPr>
          <w:rFonts w:ascii="Arial" w:hAnsi="Arial" w:cs="Arial"/>
          <w:shd w:val="clear" w:color="auto" w:fill="FFFFFF"/>
          <w:lang w:val="en-US"/>
        </w:rPr>
      </w:pPr>
      <w:r w:rsidRPr="00591306">
        <w:rPr>
          <w:rFonts w:ascii="Arial" w:hAnsi="Arial" w:cs="Arial"/>
          <w:shd w:val="clear" w:color="auto" w:fill="FFFFFF"/>
          <w:lang w:val="it-IT"/>
        </w:rPr>
        <w:t xml:space="preserve">Lillo, F., Moro, E., Vaglica, G., &amp; Mantegna, R.N. (2008). </w:t>
      </w:r>
      <w:r w:rsidRPr="00B00300">
        <w:rPr>
          <w:rFonts w:ascii="Arial" w:hAnsi="Arial" w:cs="Arial"/>
          <w:shd w:val="clear" w:color="auto" w:fill="FFFFFF"/>
          <w:lang w:val="en-US"/>
        </w:rPr>
        <w:t>Specialization</w:t>
      </w:r>
      <w:r>
        <w:rPr>
          <w:rFonts w:ascii="Arial" w:hAnsi="Arial" w:cs="Arial"/>
          <w:shd w:val="clear" w:color="auto" w:fill="FFFFFF"/>
          <w:lang w:val="en-US"/>
        </w:rPr>
        <w:t xml:space="preserve"> </w:t>
      </w:r>
      <w:r w:rsidRPr="00B00300">
        <w:rPr>
          <w:rFonts w:ascii="Arial" w:hAnsi="Arial" w:cs="Arial"/>
          <w:shd w:val="clear" w:color="auto" w:fill="FFFFFF"/>
          <w:lang w:val="en-US"/>
        </w:rPr>
        <w:t>and herding behavior of trading firms in a financial market</w:t>
      </w:r>
      <w:r>
        <w:rPr>
          <w:rFonts w:ascii="Arial" w:hAnsi="Arial" w:cs="Arial"/>
          <w:shd w:val="clear" w:color="auto" w:fill="FFFFFF"/>
          <w:lang w:val="en-US"/>
        </w:rPr>
        <w:t>.</w:t>
      </w:r>
      <w:r w:rsidRPr="00B00300">
        <w:rPr>
          <w:rFonts w:ascii="Arial" w:hAnsi="Arial" w:cs="Arial"/>
          <w:shd w:val="clear" w:color="auto" w:fill="FFFFFF"/>
          <w:lang w:val="en-US"/>
        </w:rPr>
        <w:t xml:space="preserve"> </w:t>
      </w:r>
      <w:r w:rsidRPr="00B00300">
        <w:rPr>
          <w:rFonts w:ascii="Arial" w:hAnsi="Arial" w:cs="Arial"/>
          <w:i/>
          <w:iCs/>
          <w:shd w:val="clear" w:color="auto" w:fill="FFFFFF"/>
          <w:lang w:val="en-US"/>
        </w:rPr>
        <w:t>New Journal of Physics. 10</w:t>
      </w:r>
      <w:r>
        <w:rPr>
          <w:rFonts w:ascii="Arial" w:hAnsi="Arial" w:cs="Arial"/>
          <w:shd w:val="clear" w:color="auto" w:fill="FFFFFF"/>
          <w:lang w:val="en-US"/>
        </w:rPr>
        <w:t>.</w:t>
      </w:r>
    </w:p>
    <w:p w14:paraId="7CFE33A4" w14:textId="77777777" w:rsidR="00B57835" w:rsidRPr="00A16D17" w:rsidRDefault="00B57835" w:rsidP="00B27A5A">
      <w:pPr>
        <w:spacing w:line="276" w:lineRule="auto"/>
        <w:ind w:left="284" w:hanging="284"/>
        <w:rPr>
          <w:rFonts w:ascii="Arial" w:hAnsi="Arial" w:cs="Arial"/>
          <w:shd w:val="clear" w:color="auto" w:fill="FFFFFF"/>
          <w:lang w:val="en-US"/>
        </w:rPr>
      </w:pPr>
    </w:p>
    <w:p w14:paraId="3FF91BD9" w14:textId="31B495D5" w:rsidR="00F63E3D" w:rsidRPr="0001683C" w:rsidRDefault="00F63E3D" w:rsidP="00B27A5A">
      <w:pPr>
        <w:spacing w:line="276" w:lineRule="auto"/>
        <w:ind w:left="284" w:hanging="284"/>
        <w:rPr>
          <w:rFonts w:ascii="Arial" w:hAnsi="Arial" w:cs="Arial"/>
          <w:shd w:val="clear" w:color="auto" w:fill="FFFFFF"/>
          <w:lang w:val="en-US"/>
        </w:rPr>
      </w:pPr>
      <w:r>
        <w:rPr>
          <w:rFonts w:ascii="Arial" w:hAnsi="Arial" w:cs="Arial"/>
          <w:shd w:val="clear" w:color="auto" w:fill="FFFFFF"/>
          <w:lang w:val="en-US"/>
        </w:rPr>
        <w:t xml:space="preserve">Lovric, M. (2011). </w:t>
      </w:r>
      <w:r w:rsidRPr="00F63E3D">
        <w:rPr>
          <w:rFonts w:ascii="Arial" w:hAnsi="Arial" w:cs="Arial"/>
          <w:i/>
          <w:iCs/>
          <w:shd w:val="clear" w:color="auto" w:fill="FFFFFF"/>
          <w:lang w:val="en-US"/>
        </w:rPr>
        <w:t>Behavioral Finance and Agent-Based Artificial Markets</w:t>
      </w:r>
      <w:r>
        <w:rPr>
          <w:rFonts w:ascii="Arial" w:hAnsi="Arial" w:cs="Arial"/>
          <w:shd w:val="clear" w:color="auto" w:fill="FFFFFF"/>
          <w:lang w:val="en-US"/>
        </w:rPr>
        <w:t>. Erasmus University Rotterdam.</w:t>
      </w:r>
    </w:p>
    <w:p w14:paraId="6EE5351C" w14:textId="77777777" w:rsidR="0001683C" w:rsidRPr="0001683C" w:rsidRDefault="0001683C" w:rsidP="00B27A5A">
      <w:pPr>
        <w:spacing w:line="276" w:lineRule="auto"/>
        <w:ind w:left="284" w:hanging="284"/>
        <w:rPr>
          <w:rFonts w:ascii="Arial" w:hAnsi="Arial" w:cs="Arial"/>
          <w:shd w:val="clear" w:color="auto" w:fill="FFFFFF"/>
          <w:lang w:val="en-US"/>
        </w:rPr>
      </w:pPr>
    </w:p>
    <w:p w14:paraId="13F89508" w14:textId="215D5DC4" w:rsidR="00B27A5A" w:rsidRPr="005168CF" w:rsidRDefault="007876A9" w:rsidP="00B27A5A">
      <w:pPr>
        <w:spacing w:line="276" w:lineRule="auto"/>
        <w:ind w:left="284" w:hanging="284"/>
        <w:rPr>
          <w:rFonts w:ascii="Arial" w:hAnsi="Arial" w:cs="Arial"/>
          <w:shd w:val="clear" w:color="auto" w:fill="FFFFFF"/>
          <w:lang w:val="en-US"/>
        </w:rPr>
      </w:pPr>
      <w:r w:rsidRPr="00B80FA9">
        <w:rPr>
          <w:rFonts w:ascii="Arial" w:hAnsi="Arial" w:cs="Arial"/>
          <w:shd w:val="clear" w:color="auto" w:fill="FFFFFF"/>
          <w:lang w:val="en-US"/>
        </w:rPr>
        <w:t>Lux</w:t>
      </w:r>
      <w:r w:rsidR="00B27A5A" w:rsidRPr="00B80FA9">
        <w:rPr>
          <w:rFonts w:ascii="Arial" w:hAnsi="Arial" w:cs="Arial"/>
          <w:shd w:val="clear" w:color="auto" w:fill="FFFFFF"/>
          <w:lang w:val="en-US"/>
        </w:rPr>
        <w:t xml:space="preserve"> T.</w:t>
      </w:r>
      <w:r w:rsidR="00E93C2C" w:rsidRPr="00B80FA9">
        <w:rPr>
          <w:rFonts w:ascii="Arial" w:hAnsi="Arial" w:cs="Arial"/>
          <w:shd w:val="clear" w:color="auto" w:fill="FFFFFF"/>
          <w:lang w:val="en-US"/>
        </w:rPr>
        <w:t xml:space="preserve">, </w:t>
      </w:r>
      <w:r w:rsidRPr="00B80FA9">
        <w:rPr>
          <w:rFonts w:ascii="Arial" w:hAnsi="Arial" w:cs="Arial"/>
          <w:shd w:val="clear" w:color="auto" w:fill="FFFFFF"/>
          <w:lang w:val="en-US"/>
        </w:rPr>
        <w:t>(</w:t>
      </w:r>
      <w:r w:rsidR="00E93C2C" w:rsidRPr="00B80FA9">
        <w:rPr>
          <w:rFonts w:ascii="Arial" w:hAnsi="Arial" w:cs="Arial"/>
          <w:shd w:val="clear" w:color="auto" w:fill="FFFFFF"/>
          <w:lang w:val="en-US"/>
        </w:rPr>
        <w:t>2009</w:t>
      </w:r>
      <w:r w:rsidRPr="00B80FA9">
        <w:rPr>
          <w:rFonts w:ascii="Arial" w:hAnsi="Arial" w:cs="Arial"/>
          <w:shd w:val="clear" w:color="auto" w:fill="FFFFFF"/>
          <w:lang w:val="en-US"/>
        </w:rPr>
        <w:t>)</w:t>
      </w:r>
      <w:r w:rsidR="00E93C2C" w:rsidRPr="00B80FA9">
        <w:rPr>
          <w:rFonts w:ascii="Arial" w:hAnsi="Arial" w:cs="Arial"/>
          <w:shd w:val="clear" w:color="auto" w:fill="FFFFFF"/>
          <w:lang w:val="en-US"/>
        </w:rPr>
        <w:t>.</w:t>
      </w:r>
      <w:r w:rsidRPr="00B80FA9">
        <w:rPr>
          <w:rFonts w:ascii="Arial" w:hAnsi="Arial" w:cs="Arial"/>
          <w:shd w:val="clear" w:color="auto" w:fill="FFFFFF"/>
          <w:lang w:val="en-US"/>
        </w:rPr>
        <w:t xml:space="preserve"> </w:t>
      </w:r>
      <w:r w:rsidR="00E93C2C" w:rsidRPr="005168CF">
        <w:rPr>
          <w:rFonts w:ascii="Arial" w:hAnsi="Arial" w:cs="Arial"/>
          <w:shd w:val="clear" w:color="auto" w:fill="FFFFFF"/>
          <w:lang w:val="en-US"/>
        </w:rPr>
        <w:t>Stochastic</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behavioral</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asset-pricing</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models</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and</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the</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stylized</w:t>
      </w:r>
      <w:r w:rsidR="008824E1" w:rsidRPr="005168CF">
        <w:rPr>
          <w:rFonts w:ascii="Arial" w:hAnsi="Arial" w:cs="Arial"/>
          <w:shd w:val="clear" w:color="auto" w:fill="FFFFFF"/>
          <w:lang w:val="en-US"/>
        </w:rPr>
        <w:t xml:space="preserve"> </w:t>
      </w:r>
      <w:r w:rsidR="0004144E" w:rsidRPr="005168CF">
        <w:rPr>
          <w:rFonts w:ascii="Arial" w:hAnsi="Arial" w:cs="Arial"/>
          <w:shd w:val="clear" w:color="auto" w:fill="FFFFFF"/>
          <w:lang w:val="en-US"/>
        </w:rPr>
        <w:t>facts. In</w:t>
      </w:r>
      <w:r w:rsidR="00E93C2C" w:rsidRPr="005168CF">
        <w:rPr>
          <w:rFonts w:ascii="Arial" w:hAnsi="Arial" w:cs="Arial"/>
          <w:shd w:val="clear" w:color="auto" w:fill="FFFFFF"/>
          <w:lang w:val="en-US"/>
        </w:rPr>
        <w:t>: Hens, T</w:t>
      </w:r>
      <w:r w:rsidR="00B27A5A" w:rsidRPr="005168CF">
        <w:rPr>
          <w:rFonts w:ascii="Arial" w:hAnsi="Arial" w:cs="Arial"/>
          <w:shd w:val="clear" w:color="auto" w:fill="FFFFFF"/>
          <w:lang w:val="en-US"/>
        </w:rPr>
        <w:t>.</w:t>
      </w:r>
      <w:r w:rsidR="00E93C2C" w:rsidRPr="005168CF">
        <w:rPr>
          <w:rFonts w:ascii="Arial" w:hAnsi="Arial" w:cs="Arial"/>
          <w:shd w:val="clear" w:color="auto" w:fill="FFFFFF"/>
          <w:lang w:val="en-US"/>
        </w:rPr>
        <w:t>, Schenk</w:t>
      </w:r>
      <w:r w:rsidR="00B27A5A" w:rsidRPr="005168CF">
        <w:rPr>
          <w:rFonts w:ascii="Arial" w:hAnsi="Arial" w:cs="Arial"/>
          <w:shd w:val="clear" w:color="auto" w:fill="FFFFFF"/>
          <w:lang w:val="en-US"/>
        </w:rPr>
        <w:t>-Hoppé</w:t>
      </w:r>
      <w:r w:rsidR="00E93C2C" w:rsidRPr="005168CF">
        <w:rPr>
          <w:rFonts w:ascii="Arial" w:hAnsi="Arial" w:cs="Arial"/>
          <w:shd w:val="clear" w:color="auto" w:fill="FFFFFF"/>
          <w:lang w:val="en-US"/>
        </w:rPr>
        <w:t>, K.R. (</w:t>
      </w:r>
      <w:r w:rsidR="00B27A5A" w:rsidRPr="005168CF">
        <w:rPr>
          <w:rFonts w:ascii="Arial" w:hAnsi="Arial" w:cs="Arial"/>
          <w:shd w:val="clear" w:color="auto" w:fill="FFFFFF"/>
          <w:lang w:val="en-US"/>
        </w:rPr>
        <w:t>Eds.)</w:t>
      </w:r>
      <w:r w:rsidR="00E93C2C" w:rsidRPr="005168CF">
        <w:rPr>
          <w:rFonts w:ascii="Arial" w:hAnsi="Arial" w:cs="Arial"/>
          <w:shd w:val="clear" w:color="auto" w:fill="FFFFFF"/>
          <w:lang w:val="en-US"/>
        </w:rPr>
        <w:t>, Handbook of Financial Markets</w:t>
      </w:r>
      <w:r w:rsidR="00B27A5A" w:rsidRPr="005168CF">
        <w:rPr>
          <w:rFonts w:ascii="Arial" w:hAnsi="Arial" w:cs="Arial"/>
          <w:shd w:val="clear" w:color="auto" w:fill="FFFFFF"/>
          <w:lang w:val="en-US"/>
        </w:rPr>
        <w:t>, North-Holland, San</w:t>
      </w:r>
      <w:r w:rsidR="008824E1" w:rsidRPr="005168CF">
        <w:rPr>
          <w:rFonts w:ascii="Arial" w:hAnsi="Arial" w:cs="Arial"/>
          <w:shd w:val="clear" w:color="auto" w:fill="FFFFFF"/>
          <w:lang w:val="en-US"/>
        </w:rPr>
        <w:t xml:space="preserve"> </w:t>
      </w:r>
      <w:r w:rsidR="00B27A5A" w:rsidRPr="005168CF">
        <w:rPr>
          <w:rFonts w:ascii="Arial" w:hAnsi="Arial" w:cs="Arial"/>
          <w:shd w:val="clear" w:color="auto" w:fill="FFFFFF"/>
          <w:lang w:val="en-US"/>
        </w:rPr>
        <w:t>Diego</w:t>
      </w:r>
      <w:r w:rsidR="0004144E" w:rsidRPr="005168CF">
        <w:rPr>
          <w:rFonts w:ascii="Arial" w:hAnsi="Arial" w:cs="Arial"/>
          <w:shd w:val="clear" w:color="auto" w:fill="FFFFFF"/>
          <w:lang w:val="en-US"/>
        </w:rPr>
        <w:t>, pp.161</w:t>
      </w:r>
      <w:r w:rsidR="00B27A5A" w:rsidRPr="005168CF">
        <w:rPr>
          <w:rFonts w:ascii="Arial" w:hAnsi="Arial" w:cs="Arial"/>
          <w:shd w:val="clear" w:color="auto" w:fill="FFFFFF"/>
          <w:lang w:val="en-US"/>
        </w:rPr>
        <w:t>–215.</w:t>
      </w:r>
    </w:p>
    <w:p w14:paraId="1BEBBB63" w14:textId="77777777" w:rsidR="00155E3D" w:rsidRDefault="00155E3D" w:rsidP="00B27A5A">
      <w:pPr>
        <w:spacing w:line="276" w:lineRule="auto"/>
        <w:ind w:left="284" w:hanging="284"/>
        <w:rPr>
          <w:rFonts w:ascii="Arial" w:hAnsi="Arial" w:cs="Arial"/>
          <w:shd w:val="clear" w:color="auto" w:fill="FFFFFF"/>
          <w:lang w:val="en-US"/>
        </w:rPr>
      </w:pPr>
    </w:p>
    <w:p w14:paraId="7CA4C83E" w14:textId="79CF0B34" w:rsidR="000048E3" w:rsidRDefault="007876A9" w:rsidP="00B27A5A">
      <w:pPr>
        <w:spacing w:line="276" w:lineRule="auto"/>
        <w:ind w:left="284" w:hanging="284"/>
        <w:rPr>
          <w:rFonts w:ascii="Arial" w:hAnsi="Arial" w:cs="Arial"/>
          <w:shd w:val="clear" w:color="auto" w:fill="FFFFFF"/>
          <w:lang w:val="en-US"/>
        </w:rPr>
      </w:pPr>
      <w:r w:rsidRPr="00F00F8F">
        <w:rPr>
          <w:rFonts w:ascii="Arial" w:hAnsi="Arial" w:cs="Arial"/>
          <w:shd w:val="clear" w:color="auto" w:fill="FFFFFF"/>
          <w:lang w:val="en-US"/>
        </w:rPr>
        <w:t>MSCI (201</w:t>
      </w:r>
      <w:r w:rsidR="0082676A" w:rsidRPr="00F00F8F">
        <w:rPr>
          <w:rFonts w:ascii="Arial" w:hAnsi="Arial" w:cs="Arial"/>
          <w:shd w:val="clear" w:color="auto" w:fill="FFFFFF"/>
          <w:lang w:val="en-US"/>
        </w:rPr>
        <w:t>4</w:t>
      </w:r>
      <w:r w:rsidRPr="00F00F8F">
        <w:rPr>
          <w:rFonts w:ascii="Arial" w:hAnsi="Arial" w:cs="Arial"/>
          <w:shd w:val="clear" w:color="auto" w:fill="FFFFFF"/>
          <w:lang w:val="en-US"/>
        </w:rPr>
        <w:t xml:space="preserve">). </w:t>
      </w:r>
      <w:r w:rsidR="000048E3" w:rsidRPr="005168CF">
        <w:rPr>
          <w:rFonts w:ascii="Arial" w:hAnsi="Arial" w:cs="Arial"/>
          <w:shd w:val="clear" w:color="auto" w:fill="FFFFFF"/>
          <w:lang w:val="en-US"/>
        </w:rPr>
        <w:t xml:space="preserve">MSCI World Index (WI). Data obtained from MSCI. </w:t>
      </w:r>
      <w:hyperlink r:id="rId16" w:history="1">
        <w:r w:rsidR="000048E3" w:rsidRPr="005168CF">
          <w:rPr>
            <w:rFonts w:ascii="Arial" w:hAnsi="Arial" w:cs="Arial"/>
            <w:shd w:val="clear" w:color="auto" w:fill="FFFFFF"/>
            <w:lang w:val="en-US"/>
          </w:rPr>
          <w:t>http://www.msci.com</w:t>
        </w:r>
      </w:hyperlink>
    </w:p>
    <w:p w14:paraId="433022EB" w14:textId="77777777" w:rsidR="00BF2DDA" w:rsidRDefault="00BF2DDA" w:rsidP="00B27A5A">
      <w:pPr>
        <w:spacing w:line="276" w:lineRule="auto"/>
        <w:ind w:left="284" w:hanging="284"/>
        <w:rPr>
          <w:rFonts w:ascii="Arial" w:hAnsi="Arial" w:cs="Arial"/>
          <w:shd w:val="clear" w:color="auto" w:fill="FFFFFF"/>
          <w:lang w:val="en-US"/>
        </w:rPr>
      </w:pPr>
    </w:p>
    <w:p w14:paraId="46CD5E97" w14:textId="045DB80D" w:rsidR="00BF2DDA" w:rsidRPr="000B518A" w:rsidRDefault="00BF2DDA" w:rsidP="00B27A5A">
      <w:pPr>
        <w:spacing w:line="276" w:lineRule="auto"/>
        <w:ind w:left="284" w:hanging="284"/>
        <w:rPr>
          <w:rFonts w:ascii="Arial" w:hAnsi="Arial" w:cs="Arial"/>
          <w:shd w:val="clear" w:color="auto" w:fill="FFFFFF"/>
          <w:lang w:val="en-US"/>
        </w:rPr>
      </w:pPr>
      <w:r>
        <w:rPr>
          <w:rFonts w:ascii="Arial" w:hAnsi="Arial" w:cs="Arial"/>
          <w:shd w:val="clear" w:color="auto" w:fill="FFFFFF"/>
          <w:lang w:val="en-US"/>
        </w:rPr>
        <w:lastRenderedPageBreak/>
        <w:t xml:space="preserve">Mueller, M. &amp; Pyka, A. (2016). Economic Behaviour and Agent-Based Modelling. </w:t>
      </w:r>
      <w:r w:rsidRPr="00BF2DDA">
        <w:rPr>
          <w:rFonts w:ascii="Arial" w:hAnsi="Arial" w:cs="Arial"/>
          <w:shd w:val="clear" w:color="auto" w:fill="FFFFFF"/>
          <w:lang w:val="de-CH"/>
        </w:rPr>
        <w:t>In Frantz, R., Chen, S.</w:t>
      </w:r>
      <w:r>
        <w:rPr>
          <w:rFonts w:ascii="Arial" w:hAnsi="Arial" w:cs="Arial"/>
          <w:shd w:val="clear" w:color="auto" w:fill="FFFFFF"/>
          <w:lang w:val="de-CH"/>
        </w:rPr>
        <w:t xml:space="preserve">-H., Dopfer, K., Heukelom, F. &amp; Mousavi, S. (Ed.). </w:t>
      </w:r>
      <w:r w:rsidRPr="000B518A">
        <w:rPr>
          <w:rFonts w:ascii="Arial" w:hAnsi="Arial" w:cs="Arial"/>
          <w:shd w:val="clear" w:color="auto" w:fill="FFFFFF"/>
          <w:lang w:val="en-US"/>
        </w:rPr>
        <w:t xml:space="preserve">Routledge Handbook of Behavioral Economics. </w:t>
      </w:r>
    </w:p>
    <w:p w14:paraId="28B870D5" w14:textId="77777777" w:rsidR="00BF2DDA" w:rsidRPr="000B518A" w:rsidRDefault="00BF2DDA" w:rsidP="00B27A5A">
      <w:pPr>
        <w:spacing w:line="276" w:lineRule="auto"/>
        <w:ind w:left="284" w:hanging="284"/>
        <w:rPr>
          <w:rFonts w:ascii="Arial" w:hAnsi="Arial" w:cs="Arial"/>
          <w:shd w:val="clear" w:color="auto" w:fill="FFFFFF"/>
          <w:lang w:val="en-US"/>
        </w:rPr>
      </w:pPr>
    </w:p>
    <w:p w14:paraId="6C03636E" w14:textId="5A673C96" w:rsidR="000048E3" w:rsidRDefault="000048E3" w:rsidP="00600D2E">
      <w:pPr>
        <w:spacing w:line="276" w:lineRule="auto"/>
        <w:ind w:left="284" w:hanging="284"/>
        <w:rPr>
          <w:rFonts w:ascii="Arial" w:hAnsi="Arial" w:cs="Arial"/>
          <w:shd w:val="clear" w:color="auto" w:fill="FFFFFF"/>
          <w:lang w:val="en-US"/>
        </w:rPr>
      </w:pPr>
      <w:r w:rsidRPr="000B518A">
        <w:rPr>
          <w:rFonts w:ascii="Arial" w:hAnsi="Arial" w:cs="Arial"/>
          <w:shd w:val="clear" w:color="auto" w:fill="FFFFFF"/>
          <w:lang w:val="en-US"/>
        </w:rPr>
        <w:t>Neue Zürcher Zeitu</w:t>
      </w:r>
      <w:r w:rsidR="001422BC" w:rsidRPr="000B518A">
        <w:rPr>
          <w:rFonts w:ascii="Arial" w:hAnsi="Arial" w:cs="Arial"/>
          <w:shd w:val="clear" w:color="auto" w:fill="FFFFFF"/>
          <w:lang w:val="en-US"/>
        </w:rPr>
        <w:t>ng</w:t>
      </w:r>
      <w:r w:rsidRPr="000B518A">
        <w:rPr>
          <w:rFonts w:ascii="Arial" w:hAnsi="Arial" w:cs="Arial"/>
          <w:shd w:val="clear" w:color="auto" w:fill="FFFFFF"/>
          <w:lang w:val="en-US"/>
        </w:rPr>
        <w:t>: Swiss Bond Index SBI. Published regularly by Neue Zürcher Zeitung NZZ.</w:t>
      </w:r>
    </w:p>
    <w:p w14:paraId="7C2027C5" w14:textId="77777777" w:rsidR="002D272B" w:rsidRDefault="002D272B" w:rsidP="00600D2E">
      <w:pPr>
        <w:spacing w:line="276" w:lineRule="auto"/>
        <w:ind w:left="284" w:hanging="284"/>
        <w:rPr>
          <w:rFonts w:ascii="Arial" w:hAnsi="Arial" w:cs="Arial"/>
          <w:shd w:val="clear" w:color="auto" w:fill="FFFFFF"/>
          <w:lang w:val="en-US"/>
        </w:rPr>
      </w:pPr>
    </w:p>
    <w:p w14:paraId="78A2A108" w14:textId="33A07B5C" w:rsidR="002D272B" w:rsidRPr="006205E1" w:rsidRDefault="002D272B" w:rsidP="00600D2E">
      <w:pPr>
        <w:spacing w:line="276" w:lineRule="auto"/>
        <w:ind w:left="284" w:hanging="284"/>
        <w:rPr>
          <w:rFonts w:ascii="Arial" w:hAnsi="Arial" w:cs="Arial"/>
          <w:shd w:val="clear" w:color="auto" w:fill="FFFFFF"/>
          <w:lang w:val="de-CH"/>
        </w:rPr>
      </w:pPr>
      <w:r>
        <w:rPr>
          <w:rFonts w:ascii="Arial" w:hAnsi="Arial" w:cs="Arial"/>
          <w:shd w:val="clear" w:color="auto" w:fill="FFFFFF"/>
          <w:lang w:val="en-US"/>
        </w:rPr>
        <w:t xml:space="preserve">Nitschka, T. (2014). Have investors been looking for exposure to specific countries since the global financial crisis? – Insights from the Swiss franc bond market. </w:t>
      </w:r>
      <w:r w:rsidRPr="006205E1">
        <w:rPr>
          <w:rFonts w:ascii="Arial" w:hAnsi="Arial" w:cs="Arial"/>
          <w:shd w:val="clear" w:color="auto" w:fill="FFFFFF"/>
          <w:lang w:val="de-CH"/>
        </w:rPr>
        <w:t>SNB Working Papers.</w:t>
      </w:r>
    </w:p>
    <w:p w14:paraId="55D75831" w14:textId="77777777" w:rsidR="004E5396" w:rsidRPr="006205E1" w:rsidRDefault="004E5396" w:rsidP="00600D2E">
      <w:pPr>
        <w:spacing w:line="276" w:lineRule="auto"/>
        <w:ind w:left="284" w:hanging="284"/>
        <w:rPr>
          <w:rFonts w:ascii="Arial" w:hAnsi="Arial" w:cs="Arial"/>
          <w:shd w:val="clear" w:color="auto" w:fill="FFFFFF"/>
          <w:lang w:val="de-CH"/>
        </w:rPr>
      </w:pPr>
    </w:p>
    <w:p w14:paraId="1475E1BF" w14:textId="6F77DC56" w:rsidR="00F57A3A" w:rsidRPr="00F57A3A" w:rsidRDefault="00F57A3A" w:rsidP="00F57A3A">
      <w:pPr>
        <w:spacing w:line="276" w:lineRule="auto"/>
        <w:ind w:left="284" w:hanging="284"/>
        <w:rPr>
          <w:rFonts w:ascii="Arial" w:hAnsi="Arial" w:cs="Arial"/>
          <w:shd w:val="clear" w:color="auto" w:fill="FFFFFF"/>
          <w:lang w:val="de-CH"/>
        </w:rPr>
      </w:pPr>
      <w:r w:rsidRPr="00F57A3A">
        <w:rPr>
          <w:rFonts w:ascii="Arial" w:hAnsi="Arial" w:cs="Arial"/>
          <w:shd w:val="clear" w:color="auto" w:fill="FFFFFF"/>
          <w:lang w:val="de-CH"/>
        </w:rPr>
        <w:t>OAK BV (2018). Bericht finanzielle Lage der Vorsorgeeinrichtungen 2017.</w:t>
      </w:r>
    </w:p>
    <w:p w14:paraId="096222F9" w14:textId="52D518C8" w:rsidR="00F57A3A" w:rsidRDefault="00F57A3A" w:rsidP="00600D2E">
      <w:pPr>
        <w:spacing w:line="276" w:lineRule="auto"/>
        <w:ind w:left="284" w:hanging="284"/>
        <w:rPr>
          <w:rFonts w:ascii="Arial" w:hAnsi="Arial" w:cs="Arial"/>
          <w:shd w:val="clear" w:color="auto" w:fill="FFFFFF"/>
          <w:lang w:val="de-CH"/>
        </w:rPr>
      </w:pPr>
    </w:p>
    <w:p w14:paraId="5424A52B" w14:textId="442F9FB1" w:rsidR="00280970" w:rsidRDefault="00280970" w:rsidP="00600D2E">
      <w:pPr>
        <w:spacing w:line="276" w:lineRule="auto"/>
        <w:ind w:left="284" w:hanging="284"/>
        <w:rPr>
          <w:rFonts w:ascii="Arial" w:hAnsi="Arial" w:cs="Arial"/>
          <w:shd w:val="clear" w:color="auto" w:fill="FFFFFF"/>
          <w:lang w:val="en-US"/>
        </w:rPr>
      </w:pPr>
      <w:r w:rsidRPr="006D6885">
        <w:rPr>
          <w:rFonts w:ascii="Arial" w:hAnsi="Arial" w:cs="Arial"/>
          <w:shd w:val="clear" w:color="auto" w:fill="FFFFFF"/>
          <w:lang w:val="en-US"/>
        </w:rPr>
        <w:t xml:space="preserve">Pardo, R. (1992). </w:t>
      </w:r>
      <w:r w:rsidRPr="00280970">
        <w:rPr>
          <w:rFonts w:ascii="Arial" w:hAnsi="Arial" w:cs="Arial"/>
          <w:i/>
          <w:iCs/>
          <w:shd w:val="clear" w:color="auto" w:fill="FFFFFF"/>
          <w:lang w:val="en-US"/>
        </w:rPr>
        <w:t>Design, Testing, and Optimization of Trading Systems.</w:t>
      </w:r>
      <w:r>
        <w:rPr>
          <w:rFonts w:ascii="Arial" w:hAnsi="Arial" w:cs="Arial"/>
          <w:shd w:val="clear" w:color="auto" w:fill="FFFFFF"/>
          <w:lang w:val="en-US"/>
        </w:rPr>
        <w:t xml:space="preserve"> New York: John Wiley &amp; Sons.</w:t>
      </w:r>
    </w:p>
    <w:p w14:paraId="720E18A6" w14:textId="77777777" w:rsidR="006374D7" w:rsidRPr="00280970" w:rsidRDefault="006374D7" w:rsidP="00600D2E">
      <w:pPr>
        <w:spacing w:line="276" w:lineRule="auto"/>
        <w:ind w:left="284" w:hanging="284"/>
        <w:rPr>
          <w:rFonts w:ascii="Arial" w:hAnsi="Arial" w:cs="Arial"/>
          <w:shd w:val="clear" w:color="auto" w:fill="FFFFFF"/>
          <w:lang w:val="en-US"/>
        </w:rPr>
      </w:pPr>
    </w:p>
    <w:p w14:paraId="7B996111" w14:textId="42F9E737" w:rsidR="004E5396" w:rsidRPr="004E5396" w:rsidRDefault="004E5396" w:rsidP="00600D2E">
      <w:pPr>
        <w:spacing w:line="276" w:lineRule="auto"/>
        <w:ind w:left="284" w:hanging="284"/>
        <w:rPr>
          <w:rFonts w:ascii="Arial" w:hAnsi="Arial" w:cs="Arial"/>
          <w:shd w:val="clear" w:color="auto" w:fill="FFFFFF"/>
          <w:lang w:val="en-US"/>
        </w:rPr>
      </w:pPr>
      <w:r w:rsidRPr="006D6885">
        <w:rPr>
          <w:rFonts w:ascii="Arial" w:hAnsi="Arial" w:cs="Arial"/>
          <w:shd w:val="clear" w:color="auto" w:fill="FFFFFF"/>
          <w:lang w:val="en-US"/>
        </w:rPr>
        <w:t xml:space="preserve">Phang, H.K. &amp; Allen, P.M. (1994). </w:t>
      </w:r>
      <w:r w:rsidRPr="004E5396">
        <w:rPr>
          <w:rFonts w:ascii="Arial" w:hAnsi="Arial" w:cs="Arial"/>
          <w:shd w:val="clear" w:color="auto" w:fill="FFFFFF"/>
          <w:lang w:val="en-US"/>
        </w:rPr>
        <w:t xml:space="preserve">Managing Uncertainty in Complex Systems. </w:t>
      </w:r>
      <w:r w:rsidRPr="00B1748A">
        <w:rPr>
          <w:rFonts w:ascii="Arial" w:hAnsi="Arial" w:cs="Arial"/>
          <w:shd w:val="clear" w:color="auto" w:fill="FFFFFF"/>
          <w:lang w:val="de-DE"/>
        </w:rPr>
        <w:t xml:space="preserve">Financial Markets. </w:t>
      </w:r>
      <w:r w:rsidRPr="00B1748A">
        <w:rPr>
          <w:rFonts w:ascii="Arial" w:hAnsi="Arial" w:cs="Arial"/>
          <w:lang w:val="de-DE"/>
        </w:rPr>
        <w:t xml:space="preserve">In Leydesdorff, L., &amp; Van den Besselaar, P. (Ed.). </w:t>
      </w:r>
      <w:r>
        <w:rPr>
          <w:rFonts w:ascii="Arial" w:hAnsi="Arial" w:cs="Arial"/>
          <w:lang w:val="en-US"/>
        </w:rPr>
        <w:t>Evolutionary Economics and Chaos Theory. London: Pinter.</w:t>
      </w:r>
    </w:p>
    <w:p w14:paraId="462DB0E0" w14:textId="77777777" w:rsidR="004E5396" w:rsidRPr="004E5396" w:rsidRDefault="004E5396" w:rsidP="00600D2E">
      <w:pPr>
        <w:spacing w:line="276" w:lineRule="auto"/>
        <w:ind w:left="284" w:hanging="284"/>
        <w:rPr>
          <w:rFonts w:ascii="Arial" w:hAnsi="Arial" w:cs="Arial"/>
          <w:shd w:val="clear" w:color="auto" w:fill="FFFFFF"/>
          <w:lang w:val="en-US"/>
        </w:rPr>
      </w:pPr>
    </w:p>
    <w:p w14:paraId="77E3F053" w14:textId="4F1F8E06" w:rsidR="00EA4A84" w:rsidRPr="005168CF" w:rsidRDefault="007876A9" w:rsidP="00600D2E">
      <w:pPr>
        <w:spacing w:line="276" w:lineRule="auto"/>
        <w:ind w:left="284" w:hanging="284"/>
        <w:rPr>
          <w:rFonts w:ascii="Arial" w:hAnsi="Arial" w:cs="Arial"/>
          <w:shd w:val="clear" w:color="auto" w:fill="FFFFFF"/>
          <w:lang w:val="en-US"/>
        </w:rPr>
      </w:pPr>
      <w:r w:rsidRPr="00596C8F">
        <w:rPr>
          <w:rFonts w:ascii="Arial" w:hAnsi="Arial" w:cs="Arial"/>
          <w:shd w:val="clear" w:color="auto" w:fill="FFFFFF"/>
          <w:lang w:val="en-US"/>
        </w:rPr>
        <w:t>Raberto M.,Teglio A.,Cincotti S. (</w:t>
      </w:r>
      <w:r w:rsidR="00EA4A84" w:rsidRPr="00596C8F">
        <w:rPr>
          <w:rFonts w:ascii="Arial" w:hAnsi="Arial" w:cs="Arial"/>
          <w:shd w:val="clear" w:color="auto" w:fill="FFFFFF"/>
          <w:lang w:val="en-US"/>
        </w:rPr>
        <w:t>2012</w:t>
      </w:r>
      <w:r w:rsidRPr="00596C8F">
        <w:rPr>
          <w:rFonts w:ascii="Arial" w:hAnsi="Arial" w:cs="Arial"/>
          <w:shd w:val="clear" w:color="auto" w:fill="FFFFFF"/>
          <w:lang w:val="en-US"/>
        </w:rPr>
        <w:t>)</w:t>
      </w:r>
      <w:r w:rsidR="00EA4A84" w:rsidRPr="00596C8F">
        <w:rPr>
          <w:rFonts w:ascii="Arial" w:hAnsi="Arial" w:cs="Arial"/>
          <w:shd w:val="clear" w:color="auto" w:fill="FFFFFF"/>
          <w:lang w:val="en-US"/>
        </w:rPr>
        <w:t xml:space="preserve">. </w:t>
      </w:r>
      <w:r w:rsidR="008824E1" w:rsidRPr="005168CF">
        <w:rPr>
          <w:rFonts w:ascii="Arial" w:hAnsi="Arial" w:cs="Arial"/>
          <w:shd w:val="clear" w:color="auto" w:fill="FFFFFF"/>
          <w:lang w:val="en-US"/>
        </w:rPr>
        <w:t>Debt, deleveraging</w:t>
      </w:r>
      <w:r w:rsidR="00EA4A84" w:rsidRPr="005168CF">
        <w:rPr>
          <w:rFonts w:ascii="Arial" w:hAnsi="Arial" w:cs="Arial"/>
          <w:shd w:val="clear" w:color="auto" w:fill="FFFFFF"/>
          <w:lang w:val="en-US"/>
        </w:rPr>
        <w:t xml:space="preserve"> and business cycles: </w:t>
      </w:r>
      <w:r w:rsidRPr="005168CF">
        <w:rPr>
          <w:rFonts w:ascii="Arial" w:hAnsi="Arial" w:cs="Arial"/>
          <w:shd w:val="clear" w:color="auto" w:fill="FFFFFF"/>
          <w:lang w:val="en-US"/>
        </w:rPr>
        <w:t>A</w:t>
      </w:r>
      <w:r w:rsidR="00EA4A84" w:rsidRPr="005168CF">
        <w:rPr>
          <w:rFonts w:ascii="Arial" w:hAnsi="Arial" w:cs="Arial"/>
          <w:shd w:val="clear" w:color="auto" w:fill="FFFFFF"/>
          <w:lang w:val="en-US"/>
        </w:rPr>
        <w:t xml:space="preserve">n agent-based </w:t>
      </w:r>
      <w:r w:rsidR="008824E1" w:rsidRPr="005168CF">
        <w:rPr>
          <w:rFonts w:ascii="Arial" w:hAnsi="Arial" w:cs="Arial"/>
          <w:shd w:val="clear" w:color="auto" w:fill="FFFFFF"/>
          <w:lang w:val="en-US"/>
        </w:rPr>
        <w:t>perspective. Economics</w:t>
      </w:r>
      <w:r w:rsidR="0074770F" w:rsidRPr="005168CF">
        <w:rPr>
          <w:rFonts w:ascii="Arial" w:hAnsi="Arial" w:cs="Arial"/>
          <w:shd w:val="clear" w:color="auto" w:fill="FFFFFF"/>
          <w:lang w:val="en-US"/>
        </w:rPr>
        <w:t xml:space="preserve"> - </w:t>
      </w:r>
      <w:r w:rsidR="00EA4A84" w:rsidRPr="005168CF">
        <w:rPr>
          <w:rFonts w:ascii="Arial" w:hAnsi="Arial" w:cs="Arial"/>
          <w:shd w:val="clear" w:color="auto" w:fill="FFFFFF"/>
          <w:lang w:val="en-US"/>
        </w:rPr>
        <w:t>The Open-</w:t>
      </w:r>
      <w:r w:rsidR="008824E1" w:rsidRPr="005168CF">
        <w:rPr>
          <w:rFonts w:ascii="Arial" w:hAnsi="Arial" w:cs="Arial"/>
          <w:shd w:val="clear" w:color="auto" w:fill="FFFFFF"/>
          <w:lang w:val="en-US"/>
        </w:rPr>
        <w:t>Access, Open</w:t>
      </w:r>
      <w:r w:rsidR="00EA4A84" w:rsidRPr="005168CF">
        <w:rPr>
          <w:rFonts w:ascii="Arial" w:hAnsi="Arial" w:cs="Arial"/>
          <w:shd w:val="clear" w:color="auto" w:fill="FFFFFF"/>
          <w:lang w:val="en-US"/>
        </w:rPr>
        <w:t>- Assessment E-Journal</w:t>
      </w:r>
      <w:r w:rsidR="008824E1" w:rsidRPr="005168CF">
        <w:rPr>
          <w:rFonts w:ascii="Arial" w:hAnsi="Arial" w:cs="Arial"/>
          <w:shd w:val="clear" w:color="auto" w:fill="FFFFFF"/>
          <w:lang w:val="en-US"/>
        </w:rPr>
        <w:t xml:space="preserve"> </w:t>
      </w:r>
      <w:r w:rsidR="00EA4A84" w:rsidRPr="005168CF">
        <w:rPr>
          <w:rFonts w:ascii="Arial" w:hAnsi="Arial" w:cs="Arial"/>
          <w:shd w:val="clear" w:color="auto" w:fill="FFFFFF"/>
          <w:lang w:val="en-US"/>
        </w:rPr>
        <w:t>6(27)</w:t>
      </w:r>
      <w:r w:rsidR="008824E1" w:rsidRPr="005168CF">
        <w:rPr>
          <w:rFonts w:ascii="Arial" w:hAnsi="Arial" w:cs="Arial"/>
          <w:shd w:val="clear" w:color="auto" w:fill="FFFFFF"/>
          <w:lang w:val="en-US"/>
        </w:rPr>
        <w:t>, 1</w:t>
      </w:r>
      <w:r w:rsidR="00EA4A84" w:rsidRPr="005168CF">
        <w:rPr>
          <w:rFonts w:ascii="Arial" w:hAnsi="Arial" w:cs="Arial"/>
          <w:shd w:val="clear" w:color="auto" w:fill="FFFFFF"/>
          <w:lang w:val="en-US"/>
        </w:rPr>
        <w:t>–49.</w:t>
      </w:r>
    </w:p>
    <w:p w14:paraId="4F974421" w14:textId="77777777" w:rsidR="00176D66" w:rsidRDefault="00176D66" w:rsidP="00600D2E">
      <w:pPr>
        <w:spacing w:line="276" w:lineRule="auto"/>
        <w:ind w:left="284" w:hanging="284"/>
        <w:rPr>
          <w:rFonts w:ascii="Arial" w:hAnsi="Arial" w:cs="Arial"/>
          <w:shd w:val="clear" w:color="auto" w:fill="FFFFFF"/>
          <w:lang w:val="en-US"/>
        </w:rPr>
      </w:pPr>
    </w:p>
    <w:p w14:paraId="1F8B80AE" w14:textId="48C6BEB9" w:rsidR="006C19FE" w:rsidRPr="005168CF" w:rsidRDefault="00176D66" w:rsidP="00600D2E">
      <w:pPr>
        <w:spacing w:line="276" w:lineRule="auto"/>
        <w:ind w:left="284" w:hanging="284"/>
        <w:rPr>
          <w:rFonts w:ascii="Arial" w:hAnsi="Arial" w:cs="Arial"/>
          <w:lang w:val="en-US"/>
        </w:rPr>
      </w:pPr>
      <w:r>
        <w:rPr>
          <w:rFonts w:ascii="Arial" w:hAnsi="Arial" w:cs="Arial"/>
          <w:shd w:val="clear" w:color="auto" w:fill="FFFFFF"/>
          <w:lang w:val="en-US"/>
        </w:rPr>
        <w:t>Refenes A.-P. (1995).</w:t>
      </w:r>
      <w:r w:rsidR="006C19FE" w:rsidRPr="005168CF">
        <w:rPr>
          <w:rFonts w:ascii="Arial" w:hAnsi="Arial" w:cs="Arial"/>
          <w:shd w:val="clear" w:color="auto" w:fill="FFFFFF"/>
          <w:lang w:val="en-US"/>
        </w:rPr>
        <w:t xml:space="preserve"> Neural Networks in the Capital Markets. New York: John Wiley &amp; Sons.</w:t>
      </w:r>
    </w:p>
    <w:p w14:paraId="791D7B67" w14:textId="77777777" w:rsidR="00176D66" w:rsidRDefault="00176D66" w:rsidP="00600D2E">
      <w:pPr>
        <w:spacing w:line="276" w:lineRule="auto"/>
        <w:ind w:left="284" w:hanging="284"/>
        <w:rPr>
          <w:rFonts w:ascii="Arial" w:hAnsi="Arial" w:cs="Arial"/>
          <w:lang w:val="en-US"/>
        </w:rPr>
      </w:pPr>
    </w:p>
    <w:p w14:paraId="526C2D38" w14:textId="6906CC17" w:rsidR="00232312" w:rsidRDefault="00232312" w:rsidP="00600D2E">
      <w:pPr>
        <w:spacing w:line="276" w:lineRule="auto"/>
        <w:ind w:left="284" w:hanging="284"/>
        <w:rPr>
          <w:rFonts w:ascii="Arial" w:hAnsi="Arial" w:cs="Arial"/>
          <w:lang w:val="en-US"/>
        </w:rPr>
      </w:pPr>
      <w:r w:rsidRPr="005F2261">
        <w:rPr>
          <w:rFonts w:ascii="Arial" w:hAnsi="Arial" w:cs="Arial"/>
          <w:lang w:val="en-US"/>
        </w:rPr>
        <w:t>Samanidou E</w:t>
      </w:r>
      <w:r w:rsidR="008F1FA4" w:rsidRPr="005F2261">
        <w:rPr>
          <w:rFonts w:ascii="Arial" w:hAnsi="Arial" w:cs="Arial"/>
          <w:lang w:val="en-US"/>
        </w:rPr>
        <w:t xml:space="preserve">., Zschischang E., Stauffer D. &amp; </w:t>
      </w:r>
      <w:r w:rsidRPr="005F2261">
        <w:rPr>
          <w:rFonts w:ascii="Arial" w:hAnsi="Arial" w:cs="Arial"/>
          <w:lang w:val="en-US"/>
        </w:rPr>
        <w:t>Lux T. (2007): Agent-based Models of Financial Markets. Reports on Progres</w:t>
      </w:r>
      <w:r w:rsidR="00D910E3" w:rsidRPr="005F2261">
        <w:rPr>
          <w:rFonts w:ascii="Arial" w:hAnsi="Arial" w:cs="Arial"/>
          <w:lang w:val="en-US"/>
        </w:rPr>
        <w:t>s in Physics, Vol. 70 (3). pp. 409-450.</w:t>
      </w:r>
    </w:p>
    <w:p w14:paraId="45849349" w14:textId="77777777" w:rsidR="00DB3A66" w:rsidRDefault="00DB3A66" w:rsidP="00600D2E">
      <w:pPr>
        <w:spacing w:line="276" w:lineRule="auto"/>
        <w:ind w:left="284" w:hanging="284"/>
        <w:rPr>
          <w:rFonts w:ascii="Arial" w:hAnsi="Arial" w:cs="Arial"/>
          <w:lang w:val="en-US"/>
        </w:rPr>
      </w:pPr>
    </w:p>
    <w:p w14:paraId="1D67C773" w14:textId="679A7C69" w:rsidR="00DB3A66" w:rsidRPr="00905929" w:rsidRDefault="00DB3A66" w:rsidP="00600D2E">
      <w:pPr>
        <w:spacing w:line="276" w:lineRule="auto"/>
        <w:ind w:left="284" w:hanging="284"/>
        <w:rPr>
          <w:rFonts w:ascii="Arial" w:hAnsi="Arial" w:cs="Arial"/>
          <w:i/>
          <w:iCs/>
          <w:lang w:val="en-US"/>
        </w:rPr>
      </w:pPr>
      <w:r w:rsidRPr="00905929">
        <w:rPr>
          <w:rFonts w:ascii="Arial" w:hAnsi="Arial" w:cs="Arial"/>
          <w:i/>
          <w:iCs/>
          <w:lang w:val="en-US"/>
        </w:rPr>
        <w:t>Samuelson, P.A., Nordhaus, W.D. (1989). Economics. New York: McGraw-Hill.</w:t>
      </w:r>
    </w:p>
    <w:p w14:paraId="0A1331BD" w14:textId="77777777" w:rsidR="00DB3A66" w:rsidRPr="00DB3A66" w:rsidRDefault="00DB3A66" w:rsidP="00600D2E">
      <w:pPr>
        <w:spacing w:line="276" w:lineRule="auto"/>
        <w:ind w:left="284" w:hanging="284"/>
        <w:rPr>
          <w:rFonts w:ascii="Arial" w:hAnsi="Arial" w:cs="Arial"/>
          <w:lang w:val="en-US"/>
        </w:rPr>
      </w:pPr>
    </w:p>
    <w:p w14:paraId="20809AD8" w14:textId="003E82CD" w:rsidR="00625536" w:rsidRDefault="00625536" w:rsidP="00600D2E">
      <w:pPr>
        <w:spacing w:line="276" w:lineRule="auto"/>
        <w:ind w:left="284" w:hanging="284"/>
        <w:rPr>
          <w:rFonts w:ascii="Arial" w:hAnsi="Arial" w:cs="Arial"/>
          <w:lang w:val="en-US"/>
        </w:rPr>
      </w:pPr>
      <w:r>
        <w:rPr>
          <w:rFonts w:ascii="Arial" w:hAnsi="Arial" w:cs="Arial"/>
          <w:lang w:val="en-US"/>
        </w:rPr>
        <w:t>Simon, H. (1982). Models of Bounded Rationality. Cambridge: MIT Press.</w:t>
      </w:r>
    </w:p>
    <w:p w14:paraId="420AF1FE" w14:textId="39C04E53" w:rsidR="00DA4A31" w:rsidRDefault="00DA4A31" w:rsidP="00446AA4">
      <w:pPr>
        <w:spacing w:line="276" w:lineRule="auto"/>
        <w:rPr>
          <w:rFonts w:ascii="Arial" w:hAnsi="Arial" w:cs="Arial"/>
          <w:lang w:val="en-US"/>
        </w:rPr>
      </w:pPr>
    </w:p>
    <w:p w14:paraId="3EFA399A" w14:textId="117CE692" w:rsidR="00625536" w:rsidRDefault="00F015A3" w:rsidP="00600D2E">
      <w:pPr>
        <w:spacing w:line="276" w:lineRule="auto"/>
        <w:ind w:left="284" w:hanging="284"/>
        <w:rPr>
          <w:rFonts w:ascii="Arial" w:hAnsi="Arial" w:cs="Arial"/>
          <w:lang w:val="en-US"/>
        </w:rPr>
      </w:pPr>
      <w:r w:rsidRPr="00F015A3">
        <w:rPr>
          <w:rFonts w:ascii="Arial" w:hAnsi="Arial" w:cs="Arial"/>
          <w:lang w:val="en-US"/>
        </w:rPr>
        <w:t>Sornette</w:t>
      </w:r>
      <w:r w:rsidR="00C73448">
        <w:rPr>
          <w:rFonts w:ascii="Arial" w:hAnsi="Arial" w:cs="Arial"/>
          <w:lang w:val="en-US"/>
        </w:rPr>
        <w:t>,</w:t>
      </w:r>
      <w:r w:rsidRPr="00F015A3">
        <w:rPr>
          <w:rFonts w:ascii="Arial" w:hAnsi="Arial" w:cs="Arial"/>
          <w:lang w:val="en-US"/>
        </w:rPr>
        <w:t xml:space="preserve"> D.</w:t>
      </w:r>
      <w:r w:rsidR="002F4F74">
        <w:rPr>
          <w:rFonts w:ascii="Arial" w:hAnsi="Arial" w:cs="Arial"/>
          <w:lang w:val="en-US"/>
        </w:rPr>
        <w:t xml:space="preserve"> (2014)</w:t>
      </w:r>
      <w:r w:rsidR="00C73448">
        <w:rPr>
          <w:rFonts w:ascii="Arial" w:hAnsi="Arial" w:cs="Arial"/>
          <w:lang w:val="en-US"/>
        </w:rPr>
        <w:t>.</w:t>
      </w:r>
      <w:r w:rsidRPr="00F015A3">
        <w:rPr>
          <w:rFonts w:ascii="Arial" w:hAnsi="Arial" w:cs="Arial"/>
          <w:lang w:val="en-US"/>
        </w:rPr>
        <w:t xml:space="preserve"> </w:t>
      </w:r>
      <w:r w:rsidRPr="002F4F74">
        <w:rPr>
          <w:rFonts w:ascii="Arial" w:hAnsi="Arial" w:cs="Arial"/>
          <w:i/>
          <w:iCs/>
          <w:lang w:val="en-US"/>
        </w:rPr>
        <w:t>Physics and Financial Economics (1776-2014): Puzzles, Ising and Agent-Based models.</w:t>
      </w:r>
      <w:r w:rsidR="002F4F74">
        <w:rPr>
          <w:rFonts w:ascii="Arial" w:hAnsi="Arial" w:cs="Arial"/>
          <w:lang w:val="en-US"/>
        </w:rPr>
        <w:t xml:space="preserve"> </w:t>
      </w:r>
      <w:r w:rsidRPr="00F015A3">
        <w:rPr>
          <w:rFonts w:ascii="Arial" w:hAnsi="Arial" w:cs="Arial"/>
          <w:lang w:val="en-US"/>
        </w:rPr>
        <w:t>Swiss Finance Institute.</w:t>
      </w:r>
    </w:p>
    <w:p w14:paraId="5E6A46F9" w14:textId="77777777" w:rsidR="00DA4A31" w:rsidRPr="005168CF" w:rsidRDefault="00DA4A31" w:rsidP="00600D2E">
      <w:pPr>
        <w:spacing w:line="276" w:lineRule="auto"/>
        <w:ind w:left="284" w:hanging="284"/>
        <w:rPr>
          <w:rFonts w:ascii="Arial" w:hAnsi="Arial" w:cs="Arial"/>
          <w:lang w:val="en-US"/>
        </w:rPr>
      </w:pPr>
    </w:p>
    <w:p w14:paraId="0E484421" w14:textId="5E9757B4" w:rsidR="004733EA" w:rsidRPr="005168CF" w:rsidRDefault="004733EA" w:rsidP="00F01E96">
      <w:pPr>
        <w:spacing w:line="276" w:lineRule="auto"/>
        <w:ind w:left="284" w:hanging="284"/>
        <w:rPr>
          <w:rFonts w:ascii="Arial" w:hAnsi="Arial" w:cs="Arial"/>
          <w:lang w:val="en-US"/>
        </w:rPr>
      </w:pPr>
      <w:r>
        <w:rPr>
          <w:rFonts w:ascii="Arial" w:hAnsi="Arial" w:cs="Arial"/>
          <w:lang w:val="en-US"/>
        </w:rPr>
        <w:t xml:space="preserve">SWX (2018). </w:t>
      </w:r>
      <w:r w:rsidRPr="00F01E96">
        <w:rPr>
          <w:rFonts w:ascii="Arial" w:hAnsi="Arial" w:cs="Arial"/>
          <w:lang w:val="en-US"/>
        </w:rPr>
        <w:t>Swiss Performance Index (SPI) Family (Factsheet)</w:t>
      </w:r>
      <w:r>
        <w:rPr>
          <w:rFonts w:ascii="Arial" w:hAnsi="Arial" w:cs="Arial"/>
          <w:lang w:val="en-US"/>
        </w:rPr>
        <w:t>. Zurich: SIX Swiss Exchange Ltd.</w:t>
      </w:r>
    </w:p>
    <w:p w14:paraId="771253C3" w14:textId="77777777" w:rsidR="005E0B13" w:rsidRDefault="005E0B13" w:rsidP="00B45723">
      <w:pPr>
        <w:spacing w:line="276" w:lineRule="auto"/>
        <w:ind w:left="284" w:hanging="284"/>
        <w:rPr>
          <w:rFonts w:ascii="Arial" w:hAnsi="Arial" w:cs="Arial"/>
        </w:rPr>
      </w:pPr>
    </w:p>
    <w:p w14:paraId="15245960" w14:textId="455C7B03" w:rsidR="005E0B13" w:rsidRPr="005E0B13" w:rsidRDefault="00AA2257" w:rsidP="00B45723">
      <w:pPr>
        <w:spacing w:line="276" w:lineRule="auto"/>
        <w:ind w:left="284" w:hanging="284"/>
        <w:rPr>
          <w:rFonts w:ascii="Arial" w:hAnsi="Arial" w:cs="Arial"/>
          <w:lang w:val="en-US"/>
        </w:rPr>
      </w:pPr>
      <w:r>
        <w:rPr>
          <w:rFonts w:ascii="Arial" w:hAnsi="Arial" w:cs="Arial"/>
          <w:lang w:val="en-US"/>
        </w:rPr>
        <w:t>Sutton, G. S., Mihaljekt, D. &amp;</w:t>
      </w:r>
      <w:r w:rsidR="005E0B13" w:rsidRPr="005E0B13">
        <w:rPr>
          <w:rFonts w:ascii="Arial" w:hAnsi="Arial" w:cs="Arial"/>
          <w:lang w:val="en-US"/>
        </w:rPr>
        <w:t xml:space="preserve"> Su</w:t>
      </w:r>
      <w:r w:rsidR="005E0B13">
        <w:rPr>
          <w:rFonts w:ascii="Arial" w:hAnsi="Arial" w:cs="Arial"/>
          <w:lang w:val="en-US"/>
        </w:rPr>
        <w:t>belyte, A. (2017). Interest rates and house prices in the United States and around the world. BIS Working Papers No 665.</w:t>
      </w:r>
    </w:p>
    <w:p w14:paraId="2E858354" w14:textId="77777777" w:rsidR="005E0B13" w:rsidRPr="005E0B13" w:rsidRDefault="005E0B13" w:rsidP="00B45723">
      <w:pPr>
        <w:spacing w:line="276" w:lineRule="auto"/>
        <w:ind w:left="284" w:hanging="284"/>
        <w:rPr>
          <w:rFonts w:ascii="Arial" w:hAnsi="Arial" w:cs="Arial"/>
          <w:lang w:val="en-US"/>
        </w:rPr>
      </w:pPr>
    </w:p>
    <w:p w14:paraId="418451B1" w14:textId="0C3ED037" w:rsidR="008A4B10" w:rsidRDefault="00B45723" w:rsidP="008A4B10">
      <w:pPr>
        <w:spacing w:line="276" w:lineRule="auto"/>
        <w:ind w:left="284" w:hanging="284"/>
        <w:rPr>
          <w:rFonts w:ascii="Arial" w:hAnsi="Arial" w:cs="Arial"/>
          <w:lang w:val="en-US"/>
        </w:rPr>
      </w:pPr>
      <w:r w:rsidRPr="005168CF">
        <w:rPr>
          <w:rFonts w:ascii="Arial" w:hAnsi="Arial" w:cs="Arial"/>
        </w:rPr>
        <w:t>Thurner</w:t>
      </w:r>
      <w:r w:rsidR="007876A9" w:rsidRPr="005168CF">
        <w:rPr>
          <w:rFonts w:ascii="Arial" w:hAnsi="Arial" w:cs="Arial"/>
        </w:rPr>
        <w:t xml:space="preserve"> </w:t>
      </w:r>
      <w:r w:rsidRPr="005168CF">
        <w:rPr>
          <w:rFonts w:ascii="Arial" w:hAnsi="Arial" w:cs="Arial"/>
        </w:rPr>
        <w:t>S.,</w:t>
      </w:r>
      <w:r w:rsidR="008824E1" w:rsidRPr="005168CF">
        <w:rPr>
          <w:rFonts w:ascii="Arial" w:hAnsi="Arial" w:cs="Arial"/>
        </w:rPr>
        <w:t xml:space="preserve"> </w:t>
      </w:r>
      <w:r w:rsidRPr="005168CF">
        <w:rPr>
          <w:rFonts w:ascii="Arial" w:hAnsi="Arial" w:cs="Arial"/>
        </w:rPr>
        <w:t>Farmer</w:t>
      </w:r>
      <w:r w:rsidR="007876A9" w:rsidRPr="005168CF">
        <w:rPr>
          <w:rFonts w:ascii="Arial" w:hAnsi="Arial" w:cs="Arial"/>
        </w:rPr>
        <w:t xml:space="preserve"> </w:t>
      </w:r>
      <w:r w:rsidRPr="005168CF">
        <w:rPr>
          <w:rFonts w:ascii="Arial" w:hAnsi="Arial" w:cs="Arial"/>
        </w:rPr>
        <w:t>J.D.,</w:t>
      </w:r>
      <w:r w:rsidR="008824E1" w:rsidRPr="005168CF">
        <w:rPr>
          <w:rFonts w:ascii="Arial" w:hAnsi="Arial" w:cs="Arial"/>
        </w:rPr>
        <w:t xml:space="preserve"> </w:t>
      </w:r>
      <w:r w:rsidR="007876A9" w:rsidRPr="005168CF">
        <w:rPr>
          <w:rFonts w:ascii="Arial" w:hAnsi="Arial" w:cs="Arial"/>
        </w:rPr>
        <w:t>Geanakoplos J. (</w:t>
      </w:r>
      <w:r w:rsidRPr="005168CF">
        <w:rPr>
          <w:rFonts w:ascii="Arial" w:hAnsi="Arial" w:cs="Arial"/>
        </w:rPr>
        <w:t>2012</w:t>
      </w:r>
      <w:r w:rsidR="007876A9" w:rsidRPr="005168CF">
        <w:rPr>
          <w:rFonts w:ascii="Arial" w:hAnsi="Arial" w:cs="Arial"/>
        </w:rPr>
        <w:t>)</w:t>
      </w:r>
      <w:r w:rsidRPr="005168CF">
        <w:rPr>
          <w:rFonts w:ascii="Arial" w:hAnsi="Arial" w:cs="Arial"/>
        </w:rPr>
        <w:t>.</w:t>
      </w:r>
      <w:r w:rsidR="008824E1" w:rsidRPr="005168CF">
        <w:rPr>
          <w:rFonts w:ascii="Arial" w:hAnsi="Arial" w:cs="Arial"/>
        </w:rPr>
        <w:t xml:space="preserve"> </w:t>
      </w:r>
      <w:r w:rsidRPr="005168CF">
        <w:rPr>
          <w:rFonts w:ascii="Arial" w:hAnsi="Arial" w:cs="Arial"/>
          <w:lang w:val="en-US"/>
        </w:rPr>
        <w:t>Leverage</w:t>
      </w:r>
      <w:r w:rsidR="008824E1" w:rsidRPr="005168CF">
        <w:rPr>
          <w:rFonts w:ascii="Arial" w:hAnsi="Arial" w:cs="Arial"/>
          <w:lang w:val="en-US"/>
        </w:rPr>
        <w:t xml:space="preserve"> </w:t>
      </w:r>
      <w:r w:rsidRPr="005168CF">
        <w:rPr>
          <w:rFonts w:ascii="Arial" w:hAnsi="Arial" w:cs="Arial"/>
          <w:lang w:val="en-US"/>
        </w:rPr>
        <w:t>causes</w:t>
      </w:r>
      <w:r w:rsidR="008824E1" w:rsidRPr="005168CF">
        <w:rPr>
          <w:rFonts w:ascii="Arial" w:hAnsi="Arial" w:cs="Arial"/>
          <w:lang w:val="en-US"/>
        </w:rPr>
        <w:t xml:space="preserve"> </w:t>
      </w:r>
      <w:r w:rsidRPr="005168CF">
        <w:rPr>
          <w:rFonts w:ascii="Arial" w:hAnsi="Arial" w:cs="Arial"/>
          <w:lang w:val="en-US"/>
        </w:rPr>
        <w:t>fat</w:t>
      </w:r>
      <w:r w:rsidR="008824E1" w:rsidRPr="005168CF">
        <w:rPr>
          <w:rFonts w:ascii="Arial" w:hAnsi="Arial" w:cs="Arial"/>
          <w:lang w:val="en-US"/>
        </w:rPr>
        <w:t xml:space="preserve"> </w:t>
      </w:r>
      <w:r w:rsidRPr="005168CF">
        <w:rPr>
          <w:rFonts w:ascii="Arial" w:hAnsi="Arial" w:cs="Arial"/>
          <w:lang w:val="en-US"/>
        </w:rPr>
        <w:t>tails</w:t>
      </w:r>
      <w:r w:rsidR="008824E1" w:rsidRPr="005168CF">
        <w:rPr>
          <w:rFonts w:ascii="Arial" w:hAnsi="Arial" w:cs="Arial"/>
          <w:lang w:val="en-US"/>
        </w:rPr>
        <w:t xml:space="preserve"> </w:t>
      </w:r>
      <w:r w:rsidRPr="005168CF">
        <w:rPr>
          <w:rFonts w:ascii="Arial" w:hAnsi="Arial" w:cs="Arial"/>
          <w:lang w:val="en-US"/>
        </w:rPr>
        <w:t>and</w:t>
      </w:r>
      <w:r w:rsidR="008824E1" w:rsidRPr="005168CF">
        <w:rPr>
          <w:rFonts w:ascii="Arial" w:hAnsi="Arial" w:cs="Arial"/>
          <w:lang w:val="en-US"/>
        </w:rPr>
        <w:t xml:space="preserve"> </w:t>
      </w:r>
      <w:r w:rsidRPr="005168CF">
        <w:rPr>
          <w:rFonts w:ascii="Arial" w:hAnsi="Arial" w:cs="Arial"/>
          <w:lang w:val="en-US"/>
        </w:rPr>
        <w:t>clustered</w:t>
      </w:r>
      <w:r w:rsidR="008824E1" w:rsidRPr="005168CF">
        <w:rPr>
          <w:rFonts w:ascii="Arial" w:hAnsi="Arial" w:cs="Arial"/>
          <w:lang w:val="en-US"/>
        </w:rPr>
        <w:t xml:space="preserve"> </w:t>
      </w:r>
      <w:r w:rsidRPr="005168CF">
        <w:rPr>
          <w:rFonts w:ascii="Arial" w:hAnsi="Arial" w:cs="Arial"/>
          <w:lang w:val="en-US"/>
        </w:rPr>
        <w:t>volatility.</w:t>
      </w:r>
      <w:r w:rsidR="008824E1" w:rsidRPr="005168CF">
        <w:rPr>
          <w:rFonts w:ascii="Arial" w:hAnsi="Arial" w:cs="Arial"/>
          <w:lang w:val="en-US"/>
        </w:rPr>
        <w:t xml:space="preserve"> </w:t>
      </w:r>
      <w:r w:rsidRPr="005168CF">
        <w:rPr>
          <w:rFonts w:ascii="Arial" w:hAnsi="Arial" w:cs="Arial"/>
          <w:lang w:val="en-US"/>
        </w:rPr>
        <w:t>Quant.Finance</w:t>
      </w:r>
      <w:r w:rsidR="008824E1" w:rsidRPr="005168CF">
        <w:rPr>
          <w:rFonts w:ascii="Arial" w:hAnsi="Arial" w:cs="Arial"/>
          <w:lang w:val="en-US"/>
        </w:rPr>
        <w:t xml:space="preserve"> </w:t>
      </w:r>
      <w:r w:rsidRPr="005168CF">
        <w:rPr>
          <w:rFonts w:ascii="Arial" w:hAnsi="Arial" w:cs="Arial"/>
          <w:lang w:val="en-US"/>
        </w:rPr>
        <w:t>12(5),</w:t>
      </w:r>
      <w:r w:rsidR="00E93C2C" w:rsidRPr="005168CF">
        <w:rPr>
          <w:rFonts w:ascii="Arial" w:hAnsi="Arial" w:cs="Arial"/>
          <w:lang w:val="en-US"/>
        </w:rPr>
        <w:t xml:space="preserve"> </w:t>
      </w:r>
      <w:r w:rsidRPr="005168CF">
        <w:rPr>
          <w:rFonts w:ascii="Arial" w:hAnsi="Arial" w:cs="Arial"/>
          <w:lang w:val="en-US"/>
        </w:rPr>
        <w:t>695–707.</w:t>
      </w:r>
    </w:p>
    <w:p w14:paraId="6691A534" w14:textId="77777777" w:rsidR="00186DE2" w:rsidRDefault="00186DE2" w:rsidP="008A4B10">
      <w:pPr>
        <w:spacing w:line="276" w:lineRule="auto"/>
        <w:ind w:left="284" w:hanging="284"/>
        <w:rPr>
          <w:rFonts w:ascii="Arial" w:hAnsi="Arial" w:cs="Arial"/>
          <w:lang w:val="en-US"/>
        </w:rPr>
      </w:pPr>
    </w:p>
    <w:p w14:paraId="7C7BBB7E" w14:textId="024D8B2C" w:rsidR="00186DE2" w:rsidRPr="00186DE2" w:rsidRDefault="00186DE2" w:rsidP="008A4B10">
      <w:pPr>
        <w:spacing w:line="276" w:lineRule="auto"/>
        <w:ind w:left="284" w:hanging="284"/>
        <w:rPr>
          <w:rFonts w:ascii="Arial" w:hAnsi="Arial" w:cs="Arial"/>
          <w:lang w:val="en-US"/>
        </w:rPr>
      </w:pPr>
      <w:r w:rsidRPr="00186DE2">
        <w:rPr>
          <w:rFonts w:ascii="Arial" w:hAnsi="Arial" w:cs="Arial"/>
          <w:lang w:val="en-US"/>
        </w:rPr>
        <w:t>Trichet, T., C. (2010). Quoted from the speech 'Reflections on the nature of monetary policy non-standard measures and finance theory' by Jean-Claude Trichet, 18 November 2010. http://www.ecb.int/press/key/date/2010/html/sp101118.en.html</w:t>
      </w:r>
    </w:p>
    <w:p w14:paraId="31D4C2E4" w14:textId="77777777" w:rsidR="00186DE2" w:rsidRPr="005168CF" w:rsidRDefault="00186DE2" w:rsidP="008A4B10">
      <w:pPr>
        <w:spacing w:line="276" w:lineRule="auto"/>
        <w:ind w:left="284" w:hanging="284"/>
        <w:rPr>
          <w:rFonts w:ascii="Arial" w:hAnsi="Arial" w:cs="Arial"/>
          <w:lang w:val="en-US"/>
        </w:rPr>
      </w:pPr>
    </w:p>
    <w:p w14:paraId="78A171D1" w14:textId="1947281E" w:rsidR="00B45723" w:rsidRDefault="007876A9" w:rsidP="00B45723">
      <w:pPr>
        <w:spacing w:line="276" w:lineRule="auto"/>
        <w:ind w:left="284" w:hanging="284"/>
        <w:rPr>
          <w:rFonts w:ascii="Arial" w:hAnsi="Arial" w:cs="Arial"/>
          <w:lang w:val="en-US"/>
        </w:rPr>
      </w:pPr>
      <w:r w:rsidRPr="005168CF">
        <w:rPr>
          <w:rFonts w:ascii="Arial" w:hAnsi="Arial" w:cs="Arial"/>
          <w:lang w:val="en-US"/>
        </w:rPr>
        <w:t>Was J., Lubas</w:t>
      </w:r>
      <w:r w:rsidR="00B45723" w:rsidRPr="005168CF">
        <w:rPr>
          <w:rFonts w:ascii="Arial" w:hAnsi="Arial" w:cs="Arial"/>
          <w:lang w:val="en-US"/>
        </w:rPr>
        <w:t xml:space="preserve"> R. (2014). </w:t>
      </w:r>
      <w:r w:rsidRPr="005168CF">
        <w:rPr>
          <w:rFonts w:ascii="Arial" w:hAnsi="Arial" w:cs="Arial"/>
          <w:lang w:val="en-US"/>
        </w:rPr>
        <w:t>T</w:t>
      </w:r>
      <w:r w:rsidR="00B45723" w:rsidRPr="005168CF">
        <w:rPr>
          <w:rFonts w:ascii="Arial" w:hAnsi="Arial" w:cs="Arial"/>
          <w:lang w:val="en-US"/>
        </w:rPr>
        <w:t>owards realistic and effective Agent-based models of crowd dynamics. Neurocomputing 146 (2014)199–209</w:t>
      </w:r>
    </w:p>
    <w:p w14:paraId="59DAC098" w14:textId="381B6A2E" w:rsidR="0006005A" w:rsidRDefault="0006005A" w:rsidP="00B45723">
      <w:pPr>
        <w:spacing w:line="276" w:lineRule="auto"/>
        <w:ind w:left="284" w:hanging="284"/>
        <w:rPr>
          <w:rFonts w:ascii="Arial" w:hAnsi="Arial" w:cs="Arial"/>
          <w:lang w:val="en-US"/>
        </w:rPr>
      </w:pPr>
    </w:p>
    <w:p w14:paraId="7A425F50" w14:textId="28AEB583" w:rsidR="007F5851" w:rsidRPr="007F5851" w:rsidRDefault="007F5851" w:rsidP="007F5851">
      <w:pPr>
        <w:spacing w:line="276" w:lineRule="auto"/>
        <w:ind w:left="284" w:hanging="284"/>
        <w:rPr>
          <w:rFonts w:ascii="Arial" w:hAnsi="Arial" w:cs="Arial"/>
          <w:lang w:val="en-US"/>
        </w:rPr>
      </w:pPr>
      <w:r w:rsidRPr="000A24EE">
        <w:rPr>
          <w:rFonts w:ascii="Arial" w:hAnsi="Arial" w:cs="Arial"/>
          <w:lang w:val="en-US"/>
        </w:rPr>
        <w:t xml:space="preserve">Wiesinger, J., Sornette, D., &amp; Satinover, J. (2012). </w:t>
      </w:r>
      <w:r w:rsidRPr="007F5851">
        <w:rPr>
          <w:rFonts w:ascii="Arial" w:hAnsi="Arial" w:cs="Arial"/>
          <w:lang w:val="en-US"/>
        </w:rPr>
        <w:t xml:space="preserve">Reverse Engineering Financial Markets with Majority and Minority Games Using Genetic Algorithms. </w:t>
      </w:r>
      <w:r w:rsidRPr="007F5851">
        <w:rPr>
          <w:rFonts w:ascii="Arial" w:hAnsi="Arial" w:cs="Arial"/>
          <w:i/>
          <w:iCs/>
          <w:lang w:val="en-US"/>
        </w:rPr>
        <w:t>Computational Economics, 41(4),</w:t>
      </w:r>
      <w:r w:rsidRPr="007F5851">
        <w:rPr>
          <w:rFonts w:ascii="Arial" w:hAnsi="Arial" w:cs="Arial"/>
          <w:lang w:val="en-US"/>
        </w:rPr>
        <w:t xml:space="preserve"> 475-492.</w:t>
      </w:r>
    </w:p>
    <w:p w14:paraId="061877FA" w14:textId="77777777" w:rsidR="007F5851" w:rsidRDefault="007F5851" w:rsidP="00B45723">
      <w:pPr>
        <w:spacing w:line="276" w:lineRule="auto"/>
        <w:ind w:left="284" w:hanging="284"/>
        <w:rPr>
          <w:rFonts w:ascii="Arial" w:hAnsi="Arial" w:cs="Arial"/>
          <w:lang w:val="en-US"/>
        </w:rPr>
      </w:pPr>
    </w:p>
    <w:p w14:paraId="0EC54666" w14:textId="41E1EB26" w:rsidR="0006005A" w:rsidRDefault="0006005A" w:rsidP="00B45723">
      <w:pPr>
        <w:spacing w:line="276" w:lineRule="auto"/>
        <w:ind w:left="284" w:hanging="284"/>
        <w:rPr>
          <w:rFonts w:ascii="Arial" w:hAnsi="Arial" w:cs="Arial"/>
          <w:i/>
          <w:iCs/>
          <w:lang w:val="en-US"/>
        </w:rPr>
      </w:pPr>
      <w:r w:rsidRPr="000A24EE">
        <w:rPr>
          <w:rFonts w:ascii="Arial" w:hAnsi="Arial" w:cs="Arial"/>
          <w:lang w:val="en-US"/>
        </w:rPr>
        <w:t xml:space="preserve">Windrum, P., Fagiolo, G., &amp; Moneta, A. (2007). </w:t>
      </w:r>
      <w:r w:rsidRPr="0006005A">
        <w:rPr>
          <w:rFonts w:ascii="Arial" w:hAnsi="Arial" w:cs="Arial"/>
          <w:lang w:val="en-US"/>
        </w:rPr>
        <w:t>Empirical Validation of Agent-Based M</w:t>
      </w:r>
      <w:r>
        <w:rPr>
          <w:rFonts w:ascii="Arial" w:hAnsi="Arial" w:cs="Arial"/>
          <w:lang w:val="en-US"/>
        </w:rPr>
        <w:t xml:space="preserve">odels: Alternatives and Prospects. </w:t>
      </w:r>
      <w:r w:rsidRPr="0006005A">
        <w:rPr>
          <w:rFonts w:ascii="Arial" w:hAnsi="Arial" w:cs="Arial"/>
          <w:i/>
          <w:iCs/>
          <w:lang w:val="en-US"/>
        </w:rPr>
        <w:t>Journal of Artificial Societies and Social Simulation, 10(2).</w:t>
      </w:r>
    </w:p>
    <w:sectPr w:rsidR="0006005A" w:rsidSect="00E00597">
      <w:headerReference w:type="default" r:id="rId17"/>
      <w:footerReference w:type="default" r:id="rId18"/>
      <w:pgSz w:w="11900" w:h="16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2C155" w14:textId="77777777" w:rsidR="00F97C55" w:rsidRDefault="00F97C55" w:rsidP="00317C3E">
      <w:r>
        <w:separator/>
      </w:r>
    </w:p>
  </w:endnote>
  <w:endnote w:type="continuationSeparator" w:id="0">
    <w:p w14:paraId="462938B5" w14:textId="77777777" w:rsidR="00F97C55" w:rsidRDefault="00F97C55" w:rsidP="00317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NBOfficina Sans Book">
    <w:altName w:val="SNBOfficina Sans Book"/>
    <w:panose1 w:val="00000000000000000000"/>
    <w:charset w:val="00"/>
    <w:family w:val="swiss"/>
    <w:notTrueType/>
    <w:pitch w:val="default"/>
    <w:sig w:usb0="00000003" w:usb1="00000000" w:usb2="00000000" w:usb3="00000000" w:csb0="00000001" w:csb1="00000000"/>
  </w:font>
  <w:font w:name="MS MinNew Roman">
    <w:altName w:val="MS Mincho"/>
    <w:panose1 w:val="00000000000000000000"/>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3269C" w14:textId="1EAAB1D1" w:rsidR="0016643F" w:rsidRPr="0075383A" w:rsidRDefault="0016643F" w:rsidP="0075383A">
    <w:pPr>
      <w:pStyle w:val="Footer"/>
      <w:rPr>
        <w:rFonts w:ascii="Times New Roman" w:hAnsi="Times New Roman"/>
        <w:sz w:val="20"/>
        <w:szCs w:val="20"/>
        <w:lang w:val="de-CH"/>
      </w:rPr>
    </w:pPr>
    <w:r>
      <w:rPr>
        <w:rFonts w:ascii="Book Antiqua" w:hAnsi="Book Antiqua"/>
        <w:sz w:val="20"/>
        <w:szCs w:val="20"/>
        <w:lang w:val="de-CH"/>
      </w:rPr>
      <w:tab/>
    </w:r>
    <w:r w:rsidRPr="0075383A">
      <w:rPr>
        <w:rFonts w:ascii="Times New Roman" w:hAnsi="Times New Roman"/>
        <w:sz w:val="20"/>
        <w:szCs w:val="20"/>
        <w:lang w:val="de-CH"/>
      </w:rPr>
      <w:fldChar w:fldCharType="begin"/>
    </w:r>
    <w:r w:rsidRPr="0075383A">
      <w:rPr>
        <w:rFonts w:ascii="Times New Roman" w:hAnsi="Times New Roman"/>
        <w:sz w:val="20"/>
        <w:szCs w:val="20"/>
        <w:lang w:val="de-CH"/>
      </w:rPr>
      <w:instrText xml:space="preserve"> PAGE  \* Arabic  \* MERGEFORMAT </w:instrText>
    </w:r>
    <w:r w:rsidRPr="0075383A">
      <w:rPr>
        <w:rFonts w:ascii="Times New Roman" w:hAnsi="Times New Roman"/>
        <w:sz w:val="20"/>
        <w:szCs w:val="20"/>
        <w:lang w:val="de-CH"/>
      </w:rPr>
      <w:fldChar w:fldCharType="separate"/>
    </w:r>
    <w:r>
      <w:rPr>
        <w:rFonts w:ascii="Times New Roman" w:hAnsi="Times New Roman"/>
        <w:noProof/>
        <w:sz w:val="20"/>
        <w:szCs w:val="20"/>
        <w:lang w:val="de-CH"/>
      </w:rPr>
      <w:t>1</w:t>
    </w:r>
    <w:r w:rsidRPr="0075383A">
      <w:rPr>
        <w:rFonts w:ascii="Times New Roman" w:hAnsi="Times New Roman"/>
        <w:sz w:val="20"/>
        <w:szCs w:val="20"/>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93CAC" w14:textId="77777777" w:rsidR="00F97C55" w:rsidRDefault="00F97C55" w:rsidP="00317C3E">
      <w:r>
        <w:separator/>
      </w:r>
    </w:p>
  </w:footnote>
  <w:footnote w:type="continuationSeparator" w:id="0">
    <w:p w14:paraId="66A0F0C7" w14:textId="77777777" w:rsidR="00F97C55" w:rsidRDefault="00F97C55" w:rsidP="00317C3E">
      <w:r>
        <w:continuationSeparator/>
      </w:r>
    </w:p>
  </w:footnote>
  <w:footnote w:id="1">
    <w:p w14:paraId="31707B79" w14:textId="77777777" w:rsidR="0016643F" w:rsidRPr="00600D2E" w:rsidRDefault="0016643F" w:rsidP="00F0739E">
      <w:pPr>
        <w:pStyle w:val="FootnoteText"/>
        <w:rPr>
          <w:rFonts w:ascii="Times New Roman" w:hAnsi="Times New Roman"/>
          <w:sz w:val="18"/>
          <w:szCs w:val="18"/>
        </w:rPr>
      </w:pPr>
      <w:r w:rsidRPr="00600D2E">
        <w:rPr>
          <w:rStyle w:val="FootnoteReference"/>
          <w:rFonts w:ascii="Times New Roman" w:hAnsi="Times New Roman"/>
          <w:sz w:val="18"/>
          <w:szCs w:val="18"/>
        </w:rPr>
        <w:footnoteRef/>
      </w:r>
      <w:r w:rsidRPr="00600D2E">
        <w:rPr>
          <w:rFonts w:ascii="Times New Roman" w:hAnsi="Times New Roman"/>
          <w:sz w:val="18"/>
          <w:szCs w:val="18"/>
        </w:rPr>
        <w:t xml:space="preserve"> Data sources: Swiss rental price index provided by Bundesamt für Statistik (201</w:t>
      </w:r>
      <w:r>
        <w:rPr>
          <w:rFonts w:ascii="Times New Roman" w:hAnsi="Times New Roman"/>
          <w:sz w:val="18"/>
          <w:szCs w:val="18"/>
        </w:rPr>
        <w:t>4</w:t>
      </w:r>
      <w:r w:rsidRPr="00600D2E">
        <w:rPr>
          <w:rFonts w:ascii="Times New Roman" w:hAnsi="Times New Roman"/>
          <w:sz w:val="18"/>
          <w:szCs w:val="18"/>
        </w:rPr>
        <w:t>), Swiss Bond Index published by Neue Zürcher Zeitung, MSCI World Index by MSCI (201</w:t>
      </w:r>
      <w:r>
        <w:rPr>
          <w:rFonts w:ascii="Times New Roman" w:hAnsi="Times New Roman"/>
          <w:sz w:val="18"/>
          <w:szCs w:val="18"/>
        </w:rPr>
        <w:t>4</w:t>
      </w:r>
      <w:r w:rsidRPr="00600D2E">
        <w:rPr>
          <w:rFonts w:ascii="Times New Roman" w:hAnsi="Times New Roman"/>
          <w:sz w:val="18"/>
          <w:szCs w:val="18"/>
        </w:rPr>
        <w:t>).</w:t>
      </w:r>
    </w:p>
  </w:footnote>
  <w:footnote w:id="2">
    <w:p w14:paraId="21D801DF" w14:textId="77777777" w:rsidR="0016643F" w:rsidRPr="00600D2E" w:rsidRDefault="0016643F" w:rsidP="00F57A3A">
      <w:pPr>
        <w:pStyle w:val="FootnoteText"/>
        <w:rPr>
          <w:rFonts w:ascii="Times New Roman" w:hAnsi="Times New Roman"/>
          <w:sz w:val="18"/>
          <w:szCs w:val="18"/>
        </w:rPr>
      </w:pPr>
      <w:r w:rsidRPr="00600D2E">
        <w:rPr>
          <w:rStyle w:val="FootnoteReference"/>
          <w:rFonts w:ascii="Times New Roman" w:hAnsi="Times New Roman"/>
          <w:sz w:val="18"/>
          <w:szCs w:val="18"/>
        </w:rPr>
        <w:footnoteRef/>
      </w:r>
      <w:r w:rsidRPr="00600D2E">
        <w:rPr>
          <w:rFonts w:ascii="Times New Roman" w:hAnsi="Times New Roman"/>
          <w:sz w:val="18"/>
          <w:szCs w:val="18"/>
        </w:rPr>
        <w:t xml:space="preserve"> By coincidence both the hit rate and the model efficiency happen to have the same values for both indices</w:t>
      </w:r>
      <w:r>
        <w:rPr>
          <w:rFonts w:ascii="Times New Roman" w:hAnsi="Times New Roman"/>
          <w:sz w:val="18"/>
          <w:szCs w:val="18"/>
        </w:rPr>
        <w:t>.</w:t>
      </w:r>
      <w:r w:rsidRPr="00600D2E">
        <w:rPr>
          <w:rFonts w:ascii="Times New Roman" w:hAnsi="Times New Roman"/>
          <w:sz w:val="18"/>
          <w:szCs w:val="18"/>
        </w:rPr>
        <w:t xml:space="preserve"> This can of course not be generalized.</w:t>
      </w:r>
    </w:p>
    <w:p w14:paraId="76CC9928" w14:textId="77777777" w:rsidR="0016643F" w:rsidRPr="00532B53" w:rsidRDefault="0016643F" w:rsidP="00F57A3A">
      <w:pPr>
        <w:pStyle w:val="FootnoteText"/>
        <w:rPr>
          <w:rFonts w:ascii="Arial" w:hAnsi="Arial" w:cs="Arial"/>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87F0" w14:textId="3AEAE93E" w:rsidR="0016643F" w:rsidRPr="001275FA" w:rsidRDefault="0016643F" w:rsidP="00A83F5A">
    <w:pPr>
      <w:pStyle w:val="Header"/>
      <w:jc w:val="center"/>
      <w:rPr>
        <w:rFonts w:ascii="Book Antiqua" w:hAnsi="Book Antiqua"/>
        <w:b/>
        <w: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6241"/>
    <w:multiLevelType w:val="hybridMultilevel"/>
    <w:tmpl w:val="4856865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A244F5"/>
    <w:multiLevelType w:val="hybridMultilevel"/>
    <w:tmpl w:val="EEBAF8D8"/>
    <w:lvl w:ilvl="0" w:tplc="3A1CC924">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FA6B8B"/>
    <w:multiLevelType w:val="multilevel"/>
    <w:tmpl w:val="F466AE62"/>
    <w:lvl w:ilvl="0">
      <w:start w:val="1"/>
      <w:numFmt w:val="decimal"/>
      <w:lvlText w:val="%1."/>
      <w:lvlJc w:val="left"/>
      <w:pPr>
        <w:ind w:left="360" w:hanging="360"/>
      </w:pPr>
      <w:rPr>
        <w:sz w:val="28"/>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FAE44BC"/>
    <w:multiLevelType w:val="hybridMultilevel"/>
    <w:tmpl w:val="41B885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1D4B6E"/>
    <w:multiLevelType w:val="hybridMultilevel"/>
    <w:tmpl w:val="1E8E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D27AF"/>
    <w:multiLevelType w:val="hybridMultilevel"/>
    <w:tmpl w:val="363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044B5"/>
    <w:multiLevelType w:val="hybridMultilevel"/>
    <w:tmpl w:val="3B1C12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DC660FD"/>
    <w:multiLevelType w:val="hybridMultilevel"/>
    <w:tmpl w:val="656AF67E"/>
    <w:lvl w:ilvl="0" w:tplc="42A8937C">
      <w:start w:val="3"/>
      <w:numFmt w:val="bullet"/>
      <w:lvlText w:val=""/>
      <w:lvlJc w:val="left"/>
      <w:pPr>
        <w:ind w:left="720" w:hanging="360"/>
      </w:pPr>
      <w:rPr>
        <w:rFonts w:ascii="Wingdings" w:eastAsiaTheme="minorEastAsia"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F0825A5"/>
    <w:multiLevelType w:val="hybridMultilevel"/>
    <w:tmpl w:val="E196C8F4"/>
    <w:lvl w:ilvl="0" w:tplc="D4881ACE">
      <w:start w:val="1"/>
      <w:numFmt w:val="bullet"/>
      <w:lvlText w:val="•"/>
      <w:lvlJc w:val="left"/>
      <w:pPr>
        <w:tabs>
          <w:tab w:val="num" w:pos="720"/>
        </w:tabs>
        <w:ind w:left="720" w:hanging="360"/>
      </w:pPr>
      <w:rPr>
        <w:rFonts w:ascii="Arial" w:hAnsi="Arial" w:hint="default"/>
      </w:rPr>
    </w:lvl>
    <w:lvl w:ilvl="1" w:tplc="C0F2B216" w:tentative="1">
      <w:start w:val="1"/>
      <w:numFmt w:val="bullet"/>
      <w:lvlText w:val="•"/>
      <w:lvlJc w:val="left"/>
      <w:pPr>
        <w:tabs>
          <w:tab w:val="num" w:pos="1440"/>
        </w:tabs>
        <w:ind w:left="1440" w:hanging="360"/>
      </w:pPr>
      <w:rPr>
        <w:rFonts w:ascii="Arial" w:hAnsi="Arial" w:hint="default"/>
      </w:rPr>
    </w:lvl>
    <w:lvl w:ilvl="2" w:tplc="840C518A" w:tentative="1">
      <w:start w:val="1"/>
      <w:numFmt w:val="bullet"/>
      <w:lvlText w:val="•"/>
      <w:lvlJc w:val="left"/>
      <w:pPr>
        <w:tabs>
          <w:tab w:val="num" w:pos="2160"/>
        </w:tabs>
        <w:ind w:left="2160" w:hanging="360"/>
      </w:pPr>
      <w:rPr>
        <w:rFonts w:ascii="Arial" w:hAnsi="Arial" w:hint="default"/>
      </w:rPr>
    </w:lvl>
    <w:lvl w:ilvl="3" w:tplc="8F46DB5E" w:tentative="1">
      <w:start w:val="1"/>
      <w:numFmt w:val="bullet"/>
      <w:lvlText w:val="•"/>
      <w:lvlJc w:val="left"/>
      <w:pPr>
        <w:tabs>
          <w:tab w:val="num" w:pos="2880"/>
        </w:tabs>
        <w:ind w:left="2880" w:hanging="360"/>
      </w:pPr>
      <w:rPr>
        <w:rFonts w:ascii="Arial" w:hAnsi="Arial" w:hint="default"/>
      </w:rPr>
    </w:lvl>
    <w:lvl w:ilvl="4" w:tplc="51CEC818" w:tentative="1">
      <w:start w:val="1"/>
      <w:numFmt w:val="bullet"/>
      <w:lvlText w:val="•"/>
      <w:lvlJc w:val="left"/>
      <w:pPr>
        <w:tabs>
          <w:tab w:val="num" w:pos="3600"/>
        </w:tabs>
        <w:ind w:left="3600" w:hanging="360"/>
      </w:pPr>
      <w:rPr>
        <w:rFonts w:ascii="Arial" w:hAnsi="Arial" w:hint="default"/>
      </w:rPr>
    </w:lvl>
    <w:lvl w:ilvl="5" w:tplc="C7D48784" w:tentative="1">
      <w:start w:val="1"/>
      <w:numFmt w:val="bullet"/>
      <w:lvlText w:val="•"/>
      <w:lvlJc w:val="left"/>
      <w:pPr>
        <w:tabs>
          <w:tab w:val="num" w:pos="4320"/>
        </w:tabs>
        <w:ind w:left="4320" w:hanging="360"/>
      </w:pPr>
      <w:rPr>
        <w:rFonts w:ascii="Arial" w:hAnsi="Arial" w:hint="default"/>
      </w:rPr>
    </w:lvl>
    <w:lvl w:ilvl="6" w:tplc="76146804" w:tentative="1">
      <w:start w:val="1"/>
      <w:numFmt w:val="bullet"/>
      <w:lvlText w:val="•"/>
      <w:lvlJc w:val="left"/>
      <w:pPr>
        <w:tabs>
          <w:tab w:val="num" w:pos="5040"/>
        </w:tabs>
        <w:ind w:left="5040" w:hanging="360"/>
      </w:pPr>
      <w:rPr>
        <w:rFonts w:ascii="Arial" w:hAnsi="Arial" w:hint="default"/>
      </w:rPr>
    </w:lvl>
    <w:lvl w:ilvl="7" w:tplc="FCBC48BA" w:tentative="1">
      <w:start w:val="1"/>
      <w:numFmt w:val="bullet"/>
      <w:lvlText w:val="•"/>
      <w:lvlJc w:val="left"/>
      <w:pPr>
        <w:tabs>
          <w:tab w:val="num" w:pos="5760"/>
        </w:tabs>
        <w:ind w:left="5760" w:hanging="360"/>
      </w:pPr>
      <w:rPr>
        <w:rFonts w:ascii="Arial" w:hAnsi="Arial" w:hint="default"/>
      </w:rPr>
    </w:lvl>
    <w:lvl w:ilvl="8" w:tplc="7E26F72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9624DCE"/>
    <w:multiLevelType w:val="multilevel"/>
    <w:tmpl w:val="C2F487A4"/>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A401B7A"/>
    <w:multiLevelType w:val="hybridMultilevel"/>
    <w:tmpl w:val="2A94D6A0"/>
    <w:lvl w:ilvl="0" w:tplc="18F85518">
      <w:numFmt w:val="bullet"/>
      <w:lvlText w:val="-"/>
      <w:lvlJc w:val="left"/>
      <w:pPr>
        <w:ind w:left="720" w:hanging="360"/>
      </w:pPr>
      <w:rPr>
        <w:rFonts w:ascii="Times New Roman" w:eastAsiaTheme="minorEastAsia" w:hAnsi="Times New Roman" w:cs="Times New Roman" w:hint="default"/>
      </w:rPr>
    </w:lvl>
    <w:lvl w:ilvl="1" w:tplc="18F85518">
      <w:numFmt w:val="bullet"/>
      <w:lvlText w:val="-"/>
      <w:lvlJc w:val="left"/>
      <w:pPr>
        <w:ind w:left="1440" w:hanging="360"/>
      </w:pPr>
      <w:rPr>
        <w:rFonts w:ascii="Times New Roman" w:eastAsiaTheme="minorEastAsia" w:hAnsi="Times New Roman" w:cs="Times New Roman" w:hint="default"/>
      </w:rPr>
    </w:lvl>
    <w:lvl w:ilvl="2" w:tplc="18F85518">
      <w:numFmt w:val="bullet"/>
      <w:lvlText w:val="-"/>
      <w:lvlJc w:val="left"/>
      <w:pPr>
        <w:ind w:left="2160" w:hanging="360"/>
      </w:pPr>
      <w:rPr>
        <w:rFonts w:ascii="Times New Roman" w:eastAsiaTheme="minorEastAsia" w:hAnsi="Times New Roman" w:cs="Times New Roman" w:hint="default"/>
      </w:rPr>
    </w:lvl>
    <w:lvl w:ilvl="3" w:tplc="18F85518">
      <w:numFmt w:val="bullet"/>
      <w:lvlText w:val="-"/>
      <w:lvlJc w:val="left"/>
      <w:pPr>
        <w:ind w:left="2880" w:hanging="360"/>
      </w:pPr>
      <w:rPr>
        <w:rFonts w:ascii="Times New Roman" w:eastAsiaTheme="minorEastAsia" w:hAnsi="Times New Roman" w:cs="Times New Roman"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E110EF0"/>
    <w:multiLevelType w:val="multilevel"/>
    <w:tmpl w:val="C2F487A4"/>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0E74D29"/>
    <w:multiLevelType w:val="hybridMultilevel"/>
    <w:tmpl w:val="943C41CC"/>
    <w:lvl w:ilvl="0" w:tplc="08070001">
      <w:start w:val="1"/>
      <w:numFmt w:val="bullet"/>
      <w:lvlText w:val=""/>
      <w:lvlJc w:val="left"/>
      <w:pPr>
        <w:ind w:left="720" w:hanging="360"/>
      </w:pPr>
      <w:rPr>
        <w:rFonts w:ascii="Symbol" w:hAnsi="Symbol" w:hint="default"/>
      </w:rPr>
    </w:lvl>
    <w:lvl w:ilvl="1" w:tplc="A12A3D9C">
      <w:numFmt w:val="bullet"/>
      <w:lvlText w:val="•"/>
      <w:lvlJc w:val="left"/>
      <w:pPr>
        <w:ind w:left="1440" w:hanging="360"/>
      </w:pPr>
      <w:rPr>
        <w:rFonts w:ascii="Times New Roman" w:eastAsiaTheme="minorEastAsia" w:hAnsi="Times New Roman" w:cs="Times New Roman"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85E353A"/>
    <w:multiLevelType w:val="multilevel"/>
    <w:tmpl w:val="C2F487A4"/>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EB14C01"/>
    <w:multiLevelType w:val="hybridMultilevel"/>
    <w:tmpl w:val="30B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83527"/>
    <w:multiLevelType w:val="multilevel"/>
    <w:tmpl w:val="C2F487A4"/>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7110C21"/>
    <w:multiLevelType w:val="hybridMultilevel"/>
    <w:tmpl w:val="F5B485C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7CD536A"/>
    <w:multiLevelType w:val="hybridMultilevel"/>
    <w:tmpl w:val="9C6C722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AA15182"/>
    <w:multiLevelType w:val="hybridMultilevel"/>
    <w:tmpl w:val="8332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53840"/>
    <w:multiLevelType w:val="hybridMultilevel"/>
    <w:tmpl w:val="7BF28E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C4B30A1"/>
    <w:multiLevelType w:val="hybridMultilevel"/>
    <w:tmpl w:val="A7AC15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CA21BF"/>
    <w:multiLevelType w:val="hybridMultilevel"/>
    <w:tmpl w:val="85045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0103361"/>
    <w:multiLevelType w:val="hybridMultilevel"/>
    <w:tmpl w:val="94C6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004EE5"/>
    <w:multiLevelType w:val="hybridMultilevel"/>
    <w:tmpl w:val="054ED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C266F06"/>
    <w:multiLevelType w:val="hybridMultilevel"/>
    <w:tmpl w:val="16DEB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016C9"/>
    <w:multiLevelType w:val="hybridMultilevel"/>
    <w:tmpl w:val="9C2E2E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02D674E"/>
    <w:multiLevelType w:val="hybridMultilevel"/>
    <w:tmpl w:val="36ACC8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BEA3855"/>
    <w:multiLevelType w:val="hybridMultilevel"/>
    <w:tmpl w:val="BE52CEF4"/>
    <w:lvl w:ilvl="0" w:tplc="040C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31F31"/>
    <w:multiLevelType w:val="hybridMultilevel"/>
    <w:tmpl w:val="9ABA48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1D00326"/>
    <w:multiLevelType w:val="hybridMultilevel"/>
    <w:tmpl w:val="EB1E6E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6323204"/>
    <w:multiLevelType w:val="hybridMultilevel"/>
    <w:tmpl w:val="0B9E0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6E16616"/>
    <w:multiLevelType w:val="hybridMultilevel"/>
    <w:tmpl w:val="D5D62EA0"/>
    <w:lvl w:ilvl="0" w:tplc="C96493F6">
      <w:start w:val="2"/>
      <w:numFmt w:val="bullet"/>
      <w:lvlText w:val=""/>
      <w:lvlJc w:val="left"/>
      <w:pPr>
        <w:ind w:left="720" w:hanging="360"/>
      </w:pPr>
      <w:rPr>
        <w:rFonts w:ascii="Wingdings" w:eastAsiaTheme="minorEastAsia"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7862EE8"/>
    <w:multiLevelType w:val="hybridMultilevel"/>
    <w:tmpl w:val="FF8C52AE"/>
    <w:lvl w:ilvl="0" w:tplc="BE4C089E">
      <w:start w:val="2"/>
      <w:numFmt w:val="bullet"/>
      <w:lvlText w:val=""/>
      <w:lvlJc w:val="left"/>
      <w:pPr>
        <w:ind w:left="720" w:hanging="360"/>
      </w:pPr>
      <w:rPr>
        <w:rFonts w:ascii="Wingdings" w:eastAsiaTheme="minorEastAsia"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7D164C0"/>
    <w:multiLevelType w:val="hybridMultilevel"/>
    <w:tmpl w:val="D14A7C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9B4511B"/>
    <w:multiLevelType w:val="hybridMultilevel"/>
    <w:tmpl w:val="5BFC55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0"/>
  </w:num>
  <w:num w:numId="2">
    <w:abstractNumId w:val="20"/>
  </w:num>
  <w:num w:numId="3">
    <w:abstractNumId w:val="19"/>
  </w:num>
  <w:num w:numId="4">
    <w:abstractNumId w:val="17"/>
  </w:num>
  <w:num w:numId="5">
    <w:abstractNumId w:val="29"/>
  </w:num>
  <w:num w:numId="6">
    <w:abstractNumId w:val="34"/>
  </w:num>
  <w:num w:numId="7">
    <w:abstractNumId w:val="21"/>
  </w:num>
  <w:num w:numId="8">
    <w:abstractNumId w:val="8"/>
  </w:num>
  <w:num w:numId="9">
    <w:abstractNumId w:val="7"/>
  </w:num>
  <w:num w:numId="10">
    <w:abstractNumId w:val="3"/>
  </w:num>
  <w:num w:numId="11">
    <w:abstractNumId w:val="32"/>
  </w:num>
  <w:num w:numId="12">
    <w:abstractNumId w:val="23"/>
  </w:num>
  <w:num w:numId="13">
    <w:abstractNumId w:val="26"/>
  </w:num>
  <w:num w:numId="14">
    <w:abstractNumId w:val="6"/>
  </w:num>
  <w:num w:numId="15">
    <w:abstractNumId w:val="0"/>
  </w:num>
  <w:num w:numId="16">
    <w:abstractNumId w:val="1"/>
  </w:num>
  <w:num w:numId="17">
    <w:abstractNumId w:val="12"/>
  </w:num>
  <w:num w:numId="18">
    <w:abstractNumId w:val="31"/>
  </w:num>
  <w:num w:numId="19">
    <w:abstractNumId w:val="2"/>
  </w:num>
  <w:num w:numId="20">
    <w:abstractNumId w:val="16"/>
  </w:num>
  <w:num w:numId="21">
    <w:abstractNumId w:val="5"/>
  </w:num>
  <w:num w:numId="22">
    <w:abstractNumId w:val="4"/>
  </w:num>
  <w:num w:numId="23">
    <w:abstractNumId w:val="13"/>
  </w:num>
  <w:num w:numId="24">
    <w:abstractNumId w:val="9"/>
  </w:num>
  <w:num w:numId="25">
    <w:abstractNumId w:val="15"/>
  </w:num>
  <w:num w:numId="26">
    <w:abstractNumId w:val="22"/>
  </w:num>
  <w:num w:numId="27">
    <w:abstractNumId w:val="11"/>
  </w:num>
  <w:num w:numId="28">
    <w:abstractNumId w:val="14"/>
  </w:num>
  <w:num w:numId="29">
    <w:abstractNumId w:val="24"/>
  </w:num>
  <w:num w:numId="30">
    <w:abstractNumId w:val="18"/>
  </w:num>
  <w:num w:numId="31">
    <w:abstractNumId w:val="27"/>
  </w:num>
  <w:num w:numId="32">
    <w:abstractNumId w:val="10"/>
  </w:num>
  <w:num w:numId="33">
    <w:abstractNumId w:val="25"/>
  </w:num>
  <w:num w:numId="34">
    <w:abstractNumId w:val="33"/>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981"/>
    <w:rsid w:val="00000C6C"/>
    <w:rsid w:val="00003670"/>
    <w:rsid w:val="000048E3"/>
    <w:rsid w:val="000102B7"/>
    <w:rsid w:val="000113BD"/>
    <w:rsid w:val="000114FD"/>
    <w:rsid w:val="00012F24"/>
    <w:rsid w:val="00016414"/>
    <w:rsid w:val="0001683C"/>
    <w:rsid w:val="00017E4D"/>
    <w:rsid w:val="000201FA"/>
    <w:rsid w:val="00020305"/>
    <w:rsid w:val="000206AC"/>
    <w:rsid w:val="00021A43"/>
    <w:rsid w:val="00022BF0"/>
    <w:rsid w:val="00023DFC"/>
    <w:rsid w:val="00023ED4"/>
    <w:rsid w:val="00024001"/>
    <w:rsid w:val="00024B42"/>
    <w:rsid w:val="000277AD"/>
    <w:rsid w:val="00030286"/>
    <w:rsid w:val="00032684"/>
    <w:rsid w:val="00034E51"/>
    <w:rsid w:val="00035BF5"/>
    <w:rsid w:val="00036698"/>
    <w:rsid w:val="000401AE"/>
    <w:rsid w:val="00040661"/>
    <w:rsid w:val="00040D80"/>
    <w:rsid w:val="0004144E"/>
    <w:rsid w:val="000429AB"/>
    <w:rsid w:val="00050C56"/>
    <w:rsid w:val="0005431D"/>
    <w:rsid w:val="000554C8"/>
    <w:rsid w:val="00055EC5"/>
    <w:rsid w:val="00056A44"/>
    <w:rsid w:val="0006005A"/>
    <w:rsid w:val="00061462"/>
    <w:rsid w:val="000642B8"/>
    <w:rsid w:val="00064A8A"/>
    <w:rsid w:val="00064F8D"/>
    <w:rsid w:val="00066D09"/>
    <w:rsid w:val="00067DD0"/>
    <w:rsid w:val="000708E7"/>
    <w:rsid w:val="00071870"/>
    <w:rsid w:val="00071DC6"/>
    <w:rsid w:val="000757C1"/>
    <w:rsid w:val="00076111"/>
    <w:rsid w:val="000772B4"/>
    <w:rsid w:val="0008097A"/>
    <w:rsid w:val="00081453"/>
    <w:rsid w:val="00081657"/>
    <w:rsid w:val="00081D03"/>
    <w:rsid w:val="00082E2C"/>
    <w:rsid w:val="000852D3"/>
    <w:rsid w:val="0008541F"/>
    <w:rsid w:val="000859B7"/>
    <w:rsid w:val="000904EE"/>
    <w:rsid w:val="00091BB2"/>
    <w:rsid w:val="00092A53"/>
    <w:rsid w:val="000952A0"/>
    <w:rsid w:val="0009779D"/>
    <w:rsid w:val="000A004B"/>
    <w:rsid w:val="000A1055"/>
    <w:rsid w:val="000A1475"/>
    <w:rsid w:val="000A1BB4"/>
    <w:rsid w:val="000A24EE"/>
    <w:rsid w:val="000A2C23"/>
    <w:rsid w:val="000A308C"/>
    <w:rsid w:val="000A3289"/>
    <w:rsid w:val="000A35B3"/>
    <w:rsid w:val="000A3ABC"/>
    <w:rsid w:val="000A3D81"/>
    <w:rsid w:val="000A5A82"/>
    <w:rsid w:val="000A5D5D"/>
    <w:rsid w:val="000A6E10"/>
    <w:rsid w:val="000A72C7"/>
    <w:rsid w:val="000B0BF5"/>
    <w:rsid w:val="000B0D31"/>
    <w:rsid w:val="000B1562"/>
    <w:rsid w:val="000B1819"/>
    <w:rsid w:val="000B1F77"/>
    <w:rsid w:val="000B324E"/>
    <w:rsid w:val="000B3EB7"/>
    <w:rsid w:val="000B4C4C"/>
    <w:rsid w:val="000B4DA7"/>
    <w:rsid w:val="000B518A"/>
    <w:rsid w:val="000B57BE"/>
    <w:rsid w:val="000B69D6"/>
    <w:rsid w:val="000B6CAE"/>
    <w:rsid w:val="000B70FA"/>
    <w:rsid w:val="000B77D6"/>
    <w:rsid w:val="000C17CD"/>
    <w:rsid w:val="000C1DE9"/>
    <w:rsid w:val="000C29F5"/>
    <w:rsid w:val="000C2CBF"/>
    <w:rsid w:val="000C3A6F"/>
    <w:rsid w:val="000C4ED5"/>
    <w:rsid w:val="000C5BC6"/>
    <w:rsid w:val="000D0867"/>
    <w:rsid w:val="000D1F50"/>
    <w:rsid w:val="000D2653"/>
    <w:rsid w:val="000D2A1D"/>
    <w:rsid w:val="000D44F1"/>
    <w:rsid w:val="000D486F"/>
    <w:rsid w:val="000D4B74"/>
    <w:rsid w:val="000D674D"/>
    <w:rsid w:val="000E09AD"/>
    <w:rsid w:val="000E0EEF"/>
    <w:rsid w:val="000E4AC9"/>
    <w:rsid w:val="000E50FF"/>
    <w:rsid w:val="000E5DA6"/>
    <w:rsid w:val="000E688B"/>
    <w:rsid w:val="000E7DDB"/>
    <w:rsid w:val="000F04B0"/>
    <w:rsid w:val="000F0E01"/>
    <w:rsid w:val="000F2822"/>
    <w:rsid w:val="000F4A56"/>
    <w:rsid w:val="000F4D70"/>
    <w:rsid w:val="000F6992"/>
    <w:rsid w:val="000F7A2B"/>
    <w:rsid w:val="00100068"/>
    <w:rsid w:val="00100667"/>
    <w:rsid w:val="00100E85"/>
    <w:rsid w:val="00100F22"/>
    <w:rsid w:val="001039FC"/>
    <w:rsid w:val="00103DCF"/>
    <w:rsid w:val="00105931"/>
    <w:rsid w:val="00105C1F"/>
    <w:rsid w:val="0010643D"/>
    <w:rsid w:val="00107395"/>
    <w:rsid w:val="0010790D"/>
    <w:rsid w:val="00107D2B"/>
    <w:rsid w:val="00111079"/>
    <w:rsid w:val="001112DF"/>
    <w:rsid w:val="00111329"/>
    <w:rsid w:val="00111EBB"/>
    <w:rsid w:val="00114001"/>
    <w:rsid w:val="001141E1"/>
    <w:rsid w:val="00117061"/>
    <w:rsid w:val="00117197"/>
    <w:rsid w:val="001234E2"/>
    <w:rsid w:val="00123B9B"/>
    <w:rsid w:val="0012566C"/>
    <w:rsid w:val="00125EAE"/>
    <w:rsid w:val="00126FBC"/>
    <w:rsid w:val="001275FA"/>
    <w:rsid w:val="001314E2"/>
    <w:rsid w:val="0013151B"/>
    <w:rsid w:val="00131567"/>
    <w:rsid w:val="00131C7C"/>
    <w:rsid w:val="00133F31"/>
    <w:rsid w:val="00135C8A"/>
    <w:rsid w:val="0013628D"/>
    <w:rsid w:val="001372C2"/>
    <w:rsid w:val="00140D9D"/>
    <w:rsid w:val="001414CE"/>
    <w:rsid w:val="001422A2"/>
    <w:rsid w:val="001422BC"/>
    <w:rsid w:val="001428D4"/>
    <w:rsid w:val="00144BB4"/>
    <w:rsid w:val="001456EA"/>
    <w:rsid w:val="00146BA2"/>
    <w:rsid w:val="001470AD"/>
    <w:rsid w:val="00147162"/>
    <w:rsid w:val="00147B55"/>
    <w:rsid w:val="00147D62"/>
    <w:rsid w:val="001503E5"/>
    <w:rsid w:val="00151DC2"/>
    <w:rsid w:val="001531D7"/>
    <w:rsid w:val="0015387C"/>
    <w:rsid w:val="00154B7F"/>
    <w:rsid w:val="001551E4"/>
    <w:rsid w:val="0015521C"/>
    <w:rsid w:val="00155E3D"/>
    <w:rsid w:val="001572F2"/>
    <w:rsid w:val="00160C3F"/>
    <w:rsid w:val="00161BD1"/>
    <w:rsid w:val="001629E8"/>
    <w:rsid w:val="00162E0E"/>
    <w:rsid w:val="0016398E"/>
    <w:rsid w:val="00165160"/>
    <w:rsid w:val="0016643F"/>
    <w:rsid w:val="00172BBD"/>
    <w:rsid w:val="0017304E"/>
    <w:rsid w:val="00174675"/>
    <w:rsid w:val="0017624C"/>
    <w:rsid w:val="00176D66"/>
    <w:rsid w:val="00176F5C"/>
    <w:rsid w:val="0017761A"/>
    <w:rsid w:val="0017784C"/>
    <w:rsid w:val="00177B85"/>
    <w:rsid w:val="001802C6"/>
    <w:rsid w:val="00180834"/>
    <w:rsid w:val="0018121D"/>
    <w:rsid w:val="001827B1"/>
    <w:rsid w:val="00183755"/>
    <w:rsid w:val="00183C5E"/>
    <w:rsid w:val="00183F07"/>
    <w:rsid w:val="00186111"/>
    <w:rsid w:val="00186676"/>
    <w:rsid w:val="00186DE2"/>
    <w:rsid w:val="00190932"/>
    <w:rsid w:val="001A09EF"/>
    <w:rsid w:val="001A0B9F"/>
    <w:rsid w:val="001A1474"/>
    <w:rsid w:val="001A2E00"/>
    <w:rsid w:val="001A31B9"/>
    <w:rsid w:val="001A4CDF"/>
    <w:rsid w:val="001A514A"/>
    <w:rsid w:val="001A6244"/>
    <w:rsid w:val="001A7FC1"/>
    <w:rsid w:val="001B0D1C"/>
    <w:rsid w:val="001B13E6"/>
    <w:rsid w:val="001B1827"/>
    <w:rsid w:val="001B6FE5"/>
    <w:rsid w:val="001B72C5"/>
    <w:rsid w:val="001B7755"/>
    <w:rsid w:val="001C089A"/>
    <w:rsid w:val="001C19B7"/>
    <w:rsid w:val="001C2A74"/>
    <w:rsid w:val="001C3519"/>
    <w:rsid w:val="001C3D4A"/>
    <w:rsid w:val="001C77F0"/>
    <w:rsid w:val="001D00B8"/>
    <w:rsid w:val="001D18EB"/>
    <w:rsid w:val="001D1C61"/>
    <w:rsid w:val="001D2799"/>
    <w:rsid w:val="001D2AA7"/>
    <w:rsid w:val="001D2C89"/>
    <w:rsid w:val="001D4698"/>
    <w:rsid w:val="001D570C"/>
    <w:rsid w:val="001D6534"/>
    <w:rsid w:val="001D6859"/>
    <w:rsid w:val="001D7158"/>
    <w:rsid w:val="001D7B6A"/>
    <w:rsid w:val="001E182A"/>
    <w:rsid w:val="001E35DC"/>
    <w:rsid w:val="001E396F"/>
    <w:rsid w:val="001E3E9B"/>
    <w:rsid w:val="001E5D48"/>
    <w:rsid w:val="001E5F20"/>
    <w:rsid w:val="001E629C"/>
    <w:rsid w:val="001E6445"/>
    <w:rsid w:val="001E6F09"/>
    <w:rsid w:val="001E745C"/>
    <w:rsid w:val="001F05DF"/>
    <w:rsid w:val="001F1FBD"/>
    <w:rsid w:val="001F360D"/>
    <w:rsid w:val="001F4622"/>
    <w:rsid w:val="001F4FFB"/>
    <w:rsid w:val="001F6317"/>
    <w:rsid w:val="001F6436"/>
    <w:rsid w:val="001F76A6"/>
    <w:rsid w:val="00201064"/>
    <w:rsid w:val="00201D23"/>
    <w:rsid w:val="0020435A"/>
    <w:rsid w:val="00205F17"/>
    <w:rsid w:val="00206575"/>
    <w:rsid w:val="002111ED"/>
    <w:rsid w:val="00212393"/>
    <w:rsid w:val="002137BF"/>
    <w:rsid w:val="00214B07"/>
    <w:rsid w:val="00215A35"/>
    <w:rsid w:val="00216D4A"/>
    <w:rsid w:val="0022022C"/>
    <w:rsid w:val="00221001"/>
    <w:rsid w:val="00223791"/>
    <w:rsid w:val="00224212"/>
    <w:rsid w:val="00225CBF"/>
    <w:rsid w:val="002264FF"/>
    <w:rsid w:val="0023128C"/>
    <w:rsid w:val="00231DAC"/>
    <w:rsid w:val="0023219E"/>
    <w:rsid w:val="00232312"/>
    <w:rsid w:val="00232A20"/>
    <w:rsid w:val="00233586"/>
    <w:rsid w:val="00233674"/>
    <w:rsid w:val="002337BF"/>
    <w:rsid w:val="002340D3"/>
    <w:rsid w:val="0023774C"/>
    <w:rsid w:val="00237797"/>
    <w:rsid w:val="00242A73"/>
    <w:rsid w:val="00242F4A"/>
    <w:rsid w:val="002433FA"/>
    <w:rsid w:val="00243447"/>
    <w:rsid w:val="002454C5"/>
    <w:rsid w:val="002462CF"/>
    <w:rsid w:val="00247677"/>
    <w:rsid w:val="002507DD"/>
    <w:rsid w:val="00251CF2"/>
    <w:rsid w:val="00251D9B"/>
    <w:rsid w:val="00252EC4"/>
    <w:rsid w:val="002533D3"/>
    <w:rsid w:val="00253FC5"/>
    <w:rsid w:val="002540DD"/>
    <w:rsid w:val="00254204"/>
    <w:rsid w:val="00254D4C"/>
    <w:rsid w:val="00255D7D"/>
    <w:rsid w:val="0025616B"/>
    <w:rsid w:val="00256EAF"/>
    <w:rsid w:val="0025707A"/>
    <w:rsid w:val="00257A27"/>
    <w:rsid w:val="00260163"/>
    <w:rsid w:val="00261A74"/>
    <w:rsid w:val="00262B3B"/>
    <w:rsid w:val="00263542"/>
    <w:rsid w:val="0026360F"/>
    <w:rsid w:val="0026487D"/>
    <w:rsid w:val="00270CF3"/>
    <w:rsid w:val="00271AE9"/>
    <w:rsid w:val="00271B1E"/>
    <w:rsid w:val="00272D0A"/>
    <w:rsid w:val="002733D0"/>
    <w:rsid w:val="002733FD"/>
    <w:rsid w:val="00276E95"/>
    <w:rsid w:val="0027797A"/>
    <w:rsid w:val="00280970"/>
    <w:rsid w:val="00280EEB"/>
    <w:rsid w:val="00283389"/>
    <w:rsid w:val="002833C9"/>
    <w:rsid w:val="00283E89"/>
    <w:rsid w:val="002871E2"/>
    <w:rsid w:val="002878EB"/>
    <w:rsid w:val="00291810"/>
    <w:rsid w:val="00293AE6"/>
    <w:rsid w:val="00294772"/>
    <w:rsid w:val="00294DE7"/>
    <w:rsid w:val="00294F1D"/>
    <w:rsid w:val="002955A6"/>
    <w:rsid w:val="002972A1"/>
    <w:rsid w:val="002A1E47"/>
    <w:rsid w:val="002A1F02"/>
    <w:rsid w:val="002A59F5"/>
    <w:rsid w:val="002A6AC8"/>
    <w:rsid w:val="002B0C3C"/>
    <w:rsid w:val="002B1E62"/>
    <w:rsid w:val="002B5C1F"/>
    <w:rsid w:val="002B6522"/>
    <w:rsid w:val="002B7F2E"/>
    <w:rsid w:val="002C0C57"/>
    <w:rsid w:val="002C0F1D"/>
    <w:rsid w:val="002C24E7"/>
    <w:rsid w:val="002C2906"/>
    <w:rsid w:val="002C308A"/>
    <w:rsid w:val="002C3F1B"/>
    <w:rsid w:val="002C445D"/>
    <w:rsid w:val="002C44BB"/>
    <w:rsid w:val="002C457D"/>
    <w:rsid w:val="002C5506"/>
    <w:rsid w:val="002C5AFD"/>
    <w:rsid w:val="002C70ED"/>
    <w:rsid w:val="002D2139"/>
    <w:rsid w:val="002D272B"/>
    <w:rsid w:val="002D56FD"/>
    <w:rsid w:val="002D5E27"/>
    <w:rsid w:val="002D5F48"/>
    <w:rsid w:val="002D61F6"/>
    <w:rsid w:val="002D642F"/>
    <w:rsid w:val="002D67D6"/>
    <w:rsid w:val="002D6FBE"/>
    <w:rsid w:val="002D70A8"/>
    <w:rsid w:val="002D7557"/>
    <w:rsid w:val="002D784D"/>
    <w:rsid w:val="002E0067"/>
    <w:rsid w:val="002E0E53"/>
    <w:rsid w:val="002E2FE1"/>
    <w:rsid w:val="002E4075"/>
    <w:rsid w:val="002E5AE6"/>
    <w:rsid w:val="002E5EC2"/>
    <w:rsid w:val="002E7965"/>
    <w:rsid w:val="002F4550"/>
    <w:rsid w:val="002F465E"/>
    <w:rsid w:val="002F4F39"/>
    <w:rsid w:val="002F4F74"/>
    <w:rsid w:val="003026A4"/>
    <w:rsid w:val="00303667"/>
    <w:rsid w:val="00303EAB"/>
    <w:rsid w:val="003044E9"/>
    <w:rsid w:val="00306237"/>
    <w:rsid w:val="00306240"/>
    <w:rsid w:val="00306958"/>
    <w:rsid w:val="00310213"/>
    <w:rsid w:val="00310459"/>
    <w:rsid w:val="003116B3"/>
    <w:rsid w:val="00313D20"/>
    <w:rsid w:val="00314F6A"/>
    <w:rsid w:val="003155DC"/>
    <w:rsid w:val="00315D83"/>
    <w:rsid w:val="00315E2E"/>
    <w:rsid w:val="00316030"/>
    <w:rsid w:val="003178BD"/>
    <w:rsid w:val="00317C3E"/>
    <w:rsid w:val="00317DF2"/>
    <w:rsid w:val="00321960"/>
    <w:rsid w:val="00322BAA"/>
    <w:rsid w:val="00323B95"/>
    <w:rsid w:val="00324316"/>
    <w:rsid w:val="00324F4C"/>
    <w:rsid w:val="00325725"/>
    <w:rsid w:val="00326B5A"/>
    <w:rsid w:val="003272A3"/>
    <w:rsid w:val="0033059D"/>
    <w:rsid w:val="003315BF"/>
    <w:rsid w:val="00331FF8"/>
    <w:rsid w:val="00333B78"/>
    <w:rsid w:val="00334A8B"/>
    <w:rsid w:val="003350F6"/>
    <w:rsid w:val="00335CAF"/>
    <w:rsid w:val="00337994"/>
    <w:rsid w:val="00341705"/>
    <w:rsid w:val="00341AC7"/>
    <w:rsid w:val="00341BD3"/>
    <w:rsid w:val="00342784"/>
    <w:rsid w:val="00344B5F"/>
    <w:rsid w:val="00345731"/>
    <w:rsid w:val="003457C0"/>
    <w:rsid w:val="00345ABC"/>
    <w:rsid w:val="00346F8E"/>
    <w:rsid w:val="003508B8"/>
    <w:rsid w:val="0035653C"/>
    <w:rsid w:val="00357474"/>
    <w:rsid w:val="003610DD"/>
    <w:rsid w:val="003620DF"/>
    <w:rsid w:val="003625BD"/>
    <w:rsid w:val="003636B7"/>
    <w:rsid w:val="00364CFB"/>
    <w:rsid w:val="003654E3"/>
    <w:rsid w:val="00366DF8"/>
    <w:rsid w:val="003708F6"/>
    <w:rsid w:val="0037141A"/>
    <w:rsid w:val="00372BEE"/>
    <w:rsid w:val="0037360D"/>
    <w:rsid w:val="003736A7"/>
    <w:rsid w:val="003738F0"/>
    <w:rsid w:val="00373BD9"/>
    <w:rsid w:val="00374DA2"/>
    <w:rsid w:val="003754B0"/>
    <w:rsid w:val="003758F6"/>
    <w:rsid w:val="00376189"/>
    <w:rsid w:val="00377484"/>
    <w:rsid w:val="003775CD"/>
    <w:rsid w:val="00380D54"/>
    <w:rsid w:val="00380E84"/>
    <w:rsid w:val="00381188"/>
    <w:rsid w:val="00381669"/>
    <w:rsid w:val="003821DF"/>
    <w:rsid w:val="003835E5"/>
    <w:rsid w:val="00384205"/>
    <w:rsid w:val="00387536"/>
    <w:rsid w:val="0039008B"/>
    <w:rsid w:val="00390A33"/>
    <w:rsid w:val="00390B35"/>
    <w:rsid w:val="00391DF3"/>
    <w:rsid w:val="003920AE"/>
    <w:rsid w:val="003928BB"/>
    <w:rsid w:val="003955FF"/>
    <w:rsid w:val="003A06F2"/>
    <w:rsid w:val="003A1751"/>
    <w:rsid w:val="003A3B26"/>
    <w:rsid w:val="003A41B7"/>
    <w:rsid w:val="003A5004"/>
    <w:rsid w:val="003A696B"/>
    <w:rsid w:val="003A7CEC"/>
    <w:rsid w:val="003A7F8F"/>
    <w:rsid w:val="003B2859"/>
    <w:rsid w:val="003B3673"/>
    <w:rsid w:val="003B4ECB"/>
    <w:rsid w:val="003B5F31"/>
    <w:rsid w:val="003B65C1"/>
    <w:rsid w:val="003B7D47"/>
    <w:rsid w:val="003C167B"/>
    <w:rsid w:val="003C20E0"/>
    <w:rsid w:val="003C220A"/>
    <w:rsid w:val="003C571A"/>
    <w:rsid w:val="003C6C08"/>
    <w:rsid w:val="003C6C83"/>
    <w:rsid w:val="003C7A5E"/>
    <w:rsid w:val="003D16FF"/>
    <w:rsid w:val="003D1F62"/>
    <w:rsid w:val="003D5E19"/>
    <w:rsid w:val="003D6533"/>
    <w:rsid w:val="003D6915"/>
    <w:rsid w:val="003D7314"/>
    <w:rsid w:val="003E00B9"/>
    <w:rsid w:val="003E2122"/>
    <w:rsid w:val="003E239C"/>
    <w:rsid w:val="003E2DBA"/>
    <w:rsid w:val="003E3784"/>
    <w:rsid w:val="003E4CCB"/>
    <w:rsid w:val="003E6DA9"/>
    <w:rsid w:val="003E79A6"/>
    <w:rsid w:val="003F0886"/>
    <w:rsid w:val="003F369D"/>
    <w:rsid w:val="003F3A0F"/>
    <w:rsid w:val="003F4BBC"/>
    <w:rsid w:val="003F5193"/>
    <w:rsid w:val="003F6122"/>
    <w:rsid w:val="003F69EE"/>
    <w:rsid w:val="003F6B84"/>
    <w:rsid w:val="003F6BD3"/>
    <w:rsid w:val="003F7CCF"/>
    <w:rsid w:val="0040243D"/>
    <w:rsid w:val="004031EF"/>
    <w:rsid w:val="0040396F"/>
    <w:rsid w:val="00403F8A"/>
    <w:rsid w:val="00405166"/>
    <w:rsid w:val="00407856"/>
    <w:rsid w:val="004102B6"/>
    <w:rsid w:val="0041068F"/>
    <w:rsid w:val="00410F74"/>
    <w:rsid w:val="0041263C"/>
    <w:rsid w:val="00412927"/>
    <w:rsid w:val="00417D6D"/>
    <w:rsid w:val="00417DFD"/>
    <w:rsid w:val="00422A71"/>
    <w:rsid w:val="004239AB"/>
    <w:rsid w:val="0042563C"/>
    <w:rsid w:val="004265E9"/>
    <w:rsid w:val="004307CF"/>
    <w:rsid w:val="0043110F"/>
    <w:rsid w:val="00431AF7"/>
    <w:rsid w:val="0043385F"/>
    <w:rsid w:val="004341A4"/>
    <w:rsid w:val="004417DA"/>
    <w:rsid w:val="004428B2"/>
    <w:rsid w:val="00442F79"/>
    <w:rsid w:val="00443131"/>
    <w:rsid w:val="00445388"/>
    <w:rsid w:val="004456E8"/>
    <w:rsid w:val="00446AA4"/>
    <w:rsid w:val="00446AC4"/>
    <w:rsid w:val="00447659"/>
    <w:rsid w:val="00452B9B"/>
    <w:rsid w:val="00454F5E"/>
    <w:rsid w:val="004561EA"/>
    <w:rsid w:val="004569C1"/>
    <w:rsid w:val="00457073"/>
    <w:rsid w:val="00462255"/>
    <w:rsid w:val="00462CB5"/>
    <w:rsid w:val="004633D3"/>
    <w:rsid w:val="00464B71"/>
    <w:rsid w:val="00464CC1"/>
    <w:rsid w:val="0046778F"/>
    <w:rsid w:val="004711F9"/>
    <w:rsid w:val="00471A32"/>
    <w:rsid w:val="004720F5"/>
    <w:rsid w:val="004733EA"/>
    <w:rsid w:val="00473461"/>
    <w:rsid w:val="0047574F"/>
    <w:rsid w:val="00475F90"/>
    <w:rsid w:val="004769EE"/>
    <w:rsid w:val="004824F6"/>
    <w:rsid w:val="00482702"/>
    <w:rsid w:val="0048442C"/>
    <w:rsid w:val="00484D94"/>
    <w:rsid w:val="00485313"/>
    <w:rsid w:val="0048715E"/>
    <w:rsid w:val="004900F1"/>
    <w:rsid w:val="00491999"/>
    <w:rsid w:val="00492036"/>
    <w:rsid w:val="00495DE8"/>
    <w:rsid w:val="00496068"/>
    <w:rsid w:val="00496E25"/>
    <w:rsid w:val="004A0E2A"/>
    <w:rsid w:val="004A2DDA"/>
    <w:rsid w:val="004A36B7"/>
    <w:rsid w:val="004A60C3"/>
    <w:rsid w:val="004A7D64"/>
    <w:rsid w:val="004B038A"/>
    <w:rsid w:val="004B0A47"/>
    <w:rsid w:val="004B143F"/>
    <w:rsid w:val="004B28D3"/>
    <w:rsid w:val="004B4389"/>
    <w:rsid w:val="004B5AAF"/>
    <w:rsid w:val="004C00B3"/>
    <w:rsid w:val="004C03D7"/>
    <w:rsid w:val="004C068B"/>
    <w:rsid w:val="004C0B6F"/>
    <w:rsid w:val="004C1C8C"/>
    <w:rsid w:val="004C31DB"/>
    <w:rsid w:val="004C60CA"/>
    <w:rsid w:val="004C6217"/>
    <w:rsid w:val="004C710E"/>
    <w:rsid w:val="004C715B"/>
    <w:rsid w:val="004C7B48"/>
    <w:rsid w:val="004D0873"/>
    <w:rsid w:val="004D0C6C"/>
    <w:rsid w:val="004D1634"/>
    <w:rsid w:val="004D298D"/>
    <w:rsid w:val="004D2F59"/>
    <w:rsid w:val="004D39A7"/>
    <w:rsid w:val="004D4424"/>
    <w:rsid w:val="004D490F"/>
    <w:rsid w:val="004D49B9"/>
    <w:rsid w:val="004D5874"/>
    <w:rsid w:val="004D6E00"/>
    <w:rsid w:val="004E4090"/>
    <w:rsid w:val="004E5082"/>
    <w:rsid w:val="004E5396"/>
    <w:rsid w:val="004E544E"/>
    <w:rsid w:val="004E6B0C"/>
    <w:rsid w:val="004E7679"/>
    <w:rsid w:val="004F05C8"/>
    <w:rsid w:val="004F30B3"/>
    <w:rsid w:val="004F34CA"/>
    <w:rsid w:val="004F6270"/>
    <w:rsid w:val="005011B5"/>
    <w:rsid w:val="00501801"/>
    <w:rsid w:val="005020DB"/>
    <w:rsid w:val="005046A1"/>
    <w:rsid w:val="005048E3"/>
    <w:rsid w:val="00506501"/>
    <w:rsid w:val="005074BA"/>
    <w:rsid w:val="00507535"/>
    <w:rsid w:val="00507B7E"/>
    <w:rsid w:val="0051101A"/>
    <w:rsid w:val="0051171C"/>
    <w:rsid w:val="00511799"/>
    <w:rsid w:val="005128A6"/>
    <w:rsid w:val="00512D03"/>
    <w:rsid w:val="00513562"/>
    <w:rsid w:val="00513D58"/>
    <w:rsid w:val="005168CF"/>
    <w:rsid w:val="00521BEE"/>
    <w:rsid w:val="00522E11"/>
    <w:rsid w:val="005231A8"/>
    <w:rsid w:val="005236BF"/>
    <w:rsid w:val="00523D0E"/>
    <w:rsid w:val="005249CC"/>
    <w:rsid w:val="00524BC5"/>
    <w:rsid w:val="00526A7E"/>
    <w:rsid w:val="005309C3"/>
    <w:rsid w:val="00530CEC"/>
    <w:rsid w:val="0053157D"/>
    <w:rsid w:val="00532671"/>
    <w:rsid w:val="00532B53"/>
    <w:rsid w:val="00532D9C"/>
    <w:rsid w:val="00533D70"/>
    <w:rsid w:val="005340A8"/>
    <w:rsid w:val="005347E7"/>
    <w:rsid w:val="0053695B"/>
    <w:rsid w:val="00536AAF"/>
    <w:rsid w:val="00536C39"/>
    <w:rsid w:val="00536F00"/>
    <w:rsid w:val="005376EE"/>
    <w:rsid w:val="005405C0"/>
    <w:rsid w:val="005414B3"/>
    <w:rsid w:val="005469DC"/>
    <w:rsid w:val="005523F2"/>
    <w:rsid w:val="005527D5"/>
    <w:rsid w:val="00552DE0"/>
    <w:rsid w:val="00553590"/>
    <w:rsid w:val="00553D5E"/>
    <w:rsid w:val="00555556"/>
    <w:rsid w:val="005567F0"/>
    <w:rsid w:val="00556B87"/>
    <w:rsid w:val="0055755C"/>
    <w:rsid w:val="00557E29"/>
    <w:rsid w:val="00561BCF"/>
    <w:rsid w:val="0056230C"/>
    <w:rsid w:val="00564129"/>
    <w:rsid w:val="00564F44"/>
    <w:rsid w:val="00565C41"/>
    <w:rsid w:val="00566A0C"/>
    <w:rsid w:val="00567943"/>
    <w:rsid w:val="00570805"/>
    <w:rsid w:val="00570E33"/>
    <w:rsid w:val="00571EFA"/>
    <w:rsid w:val="00574743"/>
    <w:rsid w:val="005747E0"/>
    <w:rsid w:val="00574B70"/>
    <w:rsid w:val="00575606"/>
    <w:rsid w:val="0057657C"/>
    <w:rsid w:val="00577382"/>
    <w:rsid w:val="00580BEA"/>
    <w:rsid w:val="00580EC4"/>
    <w:rsid w:val="0058302B"/>
    <w:rsid w:val="005840CD"/>
    <w:rsid w:val="00584C3D"/>
    <w:rsid w:val="00585D91"/>
    <w:rsid w:val="00585DAF"/>
    <w:rsid w:val="00586ECD"/>
    <w:rsid w:val="0059079A"/>
    <w:rsid w:val="00591306"/>
    <w:rsid w:val="00591CA9"/>
    <w:rsid w:val="0059218B"/>
    <w:rsid w:val="005924DE"/>
    <w:rsid w:val="00592703"/>
    <w:rsid w:val="00593C3C"/>
    <w:rsid w:val="005958F8"/>
    <w:rsid w:val="00596C8F"/>
    <w:rsid w:val="00596CB4"/>
    <w:rsid w:val="005A5A85"/>
    <w:rsid w:val="005A66E8"/>
    <w:rsid w:val="005A70D3"/>
    <w:rsid w:val="005A7946"/>
    <w:rsid w:val="005B01A6"/>
    <w:rsid w:val="005B0622"/>
    <w:rsid w:val="005B11E2"/>
    <w:rsid w:val="005B18AA"/>
    <w:rsid w:val="005B2C1A"/>
    <w:rsid w:val="005B4013"/>
    <w:rsid w:val="005B57B6"/>
    <w:rsid w:val="005B6CE5"/>
    <w:rsid w:val="005B6F00"/>
    <w:rsid w:val="005B7E17"/>
    <w:rsid w:val="005B7E6A"/>
    <w:rsid w:val="005C0559"/>
    <w:rsid w:val="005C1855"/>
    <w:rsid w:val="005C2AD2"/>
    <w:rsid w:val="005C402E"/>
    <w:rsid w:val="005C52AD"/>
    <w:rsid w:val="005C5CDF"/>
    <w:rsid w:val="005C6596"/>
    <w:rsid w:val="005D06CA"/>
    <w:rsid w:val="005D44B1"/>
    <w:rsid w:val="005D47B2"/>
    <w:rsid w:val="005D6179"/>
    <w:rsid w:val="005E041B"/>
    <w:rsid w:val="005E0B13"/>
    <w:rsid w:val="005E1BF3"/>
    <w:rsid w:val="005E1EF3"/>
    <w:rsid w:val="005E3230"/>
    <w:rsid w:val="005E3A3B"/>
    <w:rsid w:val="005E42D3"/>
    <w:rsid w:val="005E45F0"/>
    <w:rsid w:val="005E73BC"/>
    <w:rsid w:val="005F2261"/>
    <w:rsid w:val="005F257C"/>
    <w:rsid w:val="005F571F"/>
    <w:rsid w:val="005F5CEF"/>
    <w:rsid w:val="005F5F34"/>
    <w:rsid w:val="005F6646"/>
    <w:rsid w:val="005F69EA"/>
    <w:rsid w:val="005F7A73"/>
    <w:rsid w:val="005F7BFD"/>
    <w:rsid w:val="00600D2E"/>
    <w:rsid w:val="006011DD"/>
    <w:rsid w:val="00601F8C"/>
    <w:rsid w:val="006031F5"/>
    <w:rsid w:val="00603A4B"/>
    <w:rsid w:val="00604AC9"/>
    <w:rsid w:val="00604DE0"/>
    <w:rsid w:val="0060578D"/>
    <w:rsid w:val="00605E71"/>
    <w:rsid w:val="00607832"/>
    <w:rsid w:val="00607C7C"/>
    <w:rsid w:val="006101EC"/>
    <w:rsid w:val="0061036A"/>
    <w:rsid w:val="006113F0"/>
    <w:rsid w:val="006125AA"/>
    <w:rsid w:val="006131AB"/>
    <w:rsid w:val="00614126"/>
    <w:rsid w:val="00614A8C"/>
    <w:rsid w:val="00615164"/>
    <w:rsid w:val="00617065"/>
    <w:rsid w:val="006171E6"/>
    <w:rsid w:val="0061784B"/>
    <w:rsid w:val="006205E1"/>
    <w:rsid w:val="00622834"/>
    <w:rsid w:val="00625536"/>
    <w:rsid w:val="00625AB2"/>
    <w:rsid w:val="0063008A"/>
    <w:rsid w:val="0063044B"/>
    <w:rsid w:val="00630897"/>
    <w:rsid w:val="006312CF"/>
    <w:rsid w:val="00631734"/>
    <w:rsid w:val="006337C8"/>
    <w:rsid w:val="00634162"/>
    <w:rsid w:val="00634400"/>
    <w:rsid w:val="006366E6"/>
    <w:rsid w:val="00636A43"/>
    <w:rsid w:val="006374D7"/>
    <w:rsid w:val="00637A98"/>
    <w:rsid w:val="00640248"/>
    <w:rsid w:val="00640335"/>
    <w:rsid w:val="00640654"/>
    <w:rsid w:val="0064113D"/>
    <w:rsid w:val="006443D5"/>
    <w:rsid w:val="0064636E"/>
    <w:rsid w:val="00650289"/>
    <w:rsid w:val="0065133D"/>
    <w:rsid w:val="00651BB5"/>
    <w:rsid w:val="00652642"/>
    <w:rsid w:val="00654F6E"/>
    <w:rsid w:val="00656766"/>
    <w:rsid w:val="00656E10"/>
    <w:rsid w:val="006571FC"/>
    <w:rsid w:val="00660119"/>
    <w:rsid w:val="00662001"/>
    <w:rsid w:val="0066256D"/>
    <w:rsid w:val="006636AD"/>
    <w:rsid w:val="006636FE"/>
    <w:rsid w:val="006638C1"/>
    <w:rsid w:val="00665E9E"/>
    <w:rsid w:val="00670D3F"/>
    <w:rsid w:val="006712D6"/>
    <w:rsid w:val="00671DE6"/>
    <w:rsid w:val="006741FC"/>
    <w:rsid w:val="00681ECF"/>
    <w:rsid w:val="006826DB"/>
    <w:rsid w:val="006841F1"/>
    <w:rsid w:val="006854C8"/>
    <w:rsid w:val="00685C0D"/>
    <w:rsid w:val="006861F2"/>
    <w:rsid w:val="00686F58"/>
    <w:rsid w:val="006916ED"/>
    <w:rsid w:val="0069191D"/>
    <w:rsid w:val="00691F4F"/>
    <w:rsid w:val="00693920"/>
    <w:rsid w:val="00694660"/>
    <w:rsid w:val="00695447"/>
    <w:rsid w:val="006A00F2"/>
    <w:rsid w:val="006A0BAF"/>
    <w:rsid w:val="006A2AD9"/>
    <w:rsid w:val="006A3010"/>
    <w:rsid w:val="006A4B8A"/>
    <w:rsid w:val="006A57ED"/>
    <w:rsid w:val="006A6E12"/>
    <w:rsid w:val="006B1785"/>
    <w:rsid w:val="006B1BF5"/>
    <w:rsid w:val="006B23F6"/>
    <w:rsid w:val="006B3119"/>
    <w:rsid w:val="006B32AA"/>
    <w:rsid w:val="006B5246"/>
    <w:rsid w:val="006B6981"/>
    <w:rsid w:val="006C17AA"/>
    <w:rsid w:val="006C19FE"/>
    <w:rsid w:val="006C3E1B"/>
    <w:rsid w:val="006C456F"/>
    <w:rsid w:val="006D1605"/>
    <w:rsid w:val="006D162E"/>
    <w:rsid w:val="006D2728"/>
    <w:rsid w:val="006D2AAE"/>
    <w:rsid w:val="006D2E7F"/>
    <w:rsid w:val="006D38EC"/>
    <w:rsid w:val="006D3B5C"/>
    <w:rsid w:val="006D4889"/>
    <w:rsid w:val="006D5750"/>
    <w:rsid w:val="006D6885"/>
    <w:rsid w:val="006D731F"/>
    <w:rsid w:val="006D75C8"/>
    <w:rsid w:val="006E253E"/>
    <w:rsid w:val="006E28B0"/>
    <w:rsid w:val="006E3421"/>
    <w:rsid w:val="006E3A5E"/>
    <w:rsid w:val="006E4C08"/>
    <w:rsid w:val="006E5823"/>
    <w:rsid w:val="006E6C83"/>
    <w:rsid w:val="006E755F"/>
    <w:rsid w:val="006F0230"/>
    <w:rsid w:val="006F1EFF"/>
    <w:rsid w:val="006F23CF"/>
    <w:rsid w:val="006F2710"/>
    <w:rsid w:val="006F3E38"/>
    <w:rsid w:val="006F55C8"/>
    <w:rsid w:val="006F5D64"/>
    <w:rsid w:val="006F6A2B"/>
    <w:rsid w:val="00701CD2"/>
    <w:rsid w:val="00702256"/>
    <w:rsid w:val="00703FD8"/>
    <w:rsid w:val="00703FFC"/>
    <w:rsid w:val="007043CE"/>
    <w:rsid w:val="00705EBE"/>
    <w:rsid w:val="00707CC0"/>
    <w:rsid w:val="00711D94"/>
    <w:rsid w:val="00713DB6"/>
    <w:rsid w:val="00713EBB"/>
    <w:rsid w:val="00714ABF"/>
    <w:rsid w:val="007159D5"/>
    <w:rsid w:val="00721A0C"/>
    <w:rsid w:val="00723E0A"/>
    <w:rsid w:val="00732599"/>
    <w:rsid w:val="00733381"/>
    <w:rsid w:val="00733EAC"/>
    <w:rsid w:val="00734F07"/>
    <w:rsid w:val="00735A2B"/>
    <w:rsid w:val="0073797A"/>
    <w:rsid w:val="00737B58"/>
    <w:rsid w:val="007432A0"/>
    <w:rsid w:val="00746E4D"/>
    <w:rsid w:val="0074770F"/>
    <w:rsid w:val="0075053E"/>
    <w:rsid w:val="00750643"/>
    <w:rsid w:val="00750A9C"/>
    <w:rsid w:val="00751A41"/>
    <w:rsid w:val="0075383A"/>
    <w:rsid w:val="00754587"/>
    <w:rsid w:val="00760D01"/>
    <w:rsid w:val="007623F7"/>
    <w:rsid w:val="00762469"/>
    <w:rsid w:val="00762F58"/>
    <w:rsid w:val="00764646"/>
    <w:rsid w:val="00765089"/>
    <w:rsid w:val="0076599A"/>
    <w:rsid w:val="00770561"/>
    <w:rsid w:val="00770A77"/>
    <w:rsid w:val="00771B55"/>
    <w:rsid w:val="00773458"/>
    <w:rsid w:val="00773E44"/>
    <w:rsid w:val="0077436D"/>
    <w:rsid w:val="0077571C"/>
    <w:rsid w:val="00775BF7"/>
    <w:rsid w:val="007773AF"/>
    <w:rsid w:val="007818AB"/>
    <w:rsid w:val="00781F68"/>
    <w:rsid w:val="0078338E"/>
    <w:rsid w:val="007838F7"/>
    <w:rsid w:val="00784B80"/>
    <w:rsid w:val="007861CF"/>
    <w:rsid w:val="0078639E"/>
    <w:rsid w:val="007874AC"/>
    <w:rsid w:val="007876A9"/>
    <w:rsid w:val="00790D54"/>
    <w:rsid w:val="00791D45"/>
    <w:rsid w:val="0079272C"/>
    <w:rsid w:val="007936A7"/>
    <w:rsid w:val="00794305"/>
    <w:rsid w:val="007945F1"/>
    <w:rsid w:val="00796659"/>
    <w:rsid w:val="007A13C3"/>
    <w:rsid w:val="007A227F"/>
    <w:rsid w:val="007A40D3"/>
    <w:rsid w:val="007A653F"/>
    <w:rsid w:val="007A6CFC"/>
    <w:rsid w:val="007A7A75"/>
    <w:rsid w:val="007B087D"/>
    <w:rsid w:val="007B1AC7"/>
    <w:rsid w:val="007B5982"/>
    <w:rsid w:val="007B6FD6"/>
    <w:rsid w:val="007B74E8"/>
    <w:rsid w:val="007C0690"/>
    <w:rsid w:val="007C0E15"/>
    <w:rsid w:val="007C1929"/>
    <w:rsid w:val="007C2767"/>
    <w:rsid w:val="007C2B40"/>
    <w:rsid w:val="007C2BB0"/>
    <w:rsid w:val="007C3DD1"/>
    <w:rsid w:val="007C4518"/>
    <w:rsid w:val="007C5CA2"/>
    <w:rsid w:val="007C7CEA"/>
    <w:rsid w:val="007D20F1"/>
    <w:rsid w:val="007D21C9"/>
    <w:rsid w:val="007D3067"/>
    <w:rsid w:val="007D63BF"/>
    <w:rsid w:val="007D6535"/>
    <w:rsid w:val="007D6A3A"/>
    <w:rsid w:val="007D6B5F"/>
    <w:rsid w:val="007D7D5C"/>
    <w:rsid w:val="007E2508"/>
    <w:rsid w:val="007E3583"/>
    <w:rsid w:val="007E4127"/>
    <w:rsid w:val="007E4416"/>
    <w:rsid w:val="007E5681"/>
    <w:rsid w:val="007E5E27"/>
    <w:rsid w:val="007E75FF"/>
    <w:rsid w:val="007F4600"/>
    <w:rsid w:val="007F48CD"/>
    <w:rsid w:val="007F5851"/>
    <w:rsid w:val="007F60E6"/>
    <w:rsid w:val="007F67DB"/>
    <w:rsid w:val="007F7615"/>
    <w:rsid w:val="007F7B5C"/>
    <w:rsid w:val="00800589"/>
    <w:rsid w:val="00802CEF"/>
    <w:rsid w:val="008043AE"/>
    <w:rsid w:val="00807A38"/>
    <w:rsid w:val="00807B64"/>
    <w:rsid w:val="0081137E"/>
    <w:rsid w:val="00812C15"/>
    <w:rsid w:val="00815A95"/>
    <w:rsid w:val="00815FCE"/>
    <w:rsid w:val="00816176"/>
    <w:rsid w:val="00816570"/>
    <w:rsid w:val="00820D3B"/>
    <w:rsid w:val="00822357"/>
    <w:rsid w:val="00823C58"/>
    <w:rsid w:val="0082676A"/>
    <w:rsid w:val="00826933"/>
    <w:rsid w:val="00831768"/>
    <w:rsid w:val="00834468"/>
    <w:rsid w:val="00834B2A"/>
    <w:rsid w:val="00835181"/>
    <w:rsid w:val="00835296"/>
    <w:rsid w:val="008371A9"/>
    <w:rsid w:val="008449FC"/>
    <w:rsid w:val="00844B91"/>
    <w:rsid w:val="00845A52"/>
    <w:rsid w:val="00845DFE"/>
    <w:rsid w:val="00847A84"/>
    <w:rsid w:val="00847E9A"/>
    <w:rsid w:val="00852BDE"/>
    <w:rsid w:val="0085422C"/>
    <w:rsid w:val="00854A50"/>
    <w:rsid w:val="00855902"/>
    <w:rsid w:val="00856787"/>
    <w:rsid w:val="00857E94"/>
    <w:rsid w:val="00861C99"/>
    <w:rsid w:val="00862353"/>
    <w:rsid w:val="00862CB6"/>
    <w:rsid w:val="00863B4C"/>
    <w:rsid w:val="0086513F"/>
    <w:rsid w:val="00865B75"/>
    <w:rsid w:val="00866148"/>
    <w:rsid w:val="0086627A"/>
    <w:rsid w:val="00866B52"/>
    <w:rsid w:val="00870C2E"/>
    <w:rsid w:val="00871013"/>
    <w:rsid w:val="008712FE"/>
    <w:rsid w:val="00873AAF"/>
    <w:rsid w:val="0087438E"/>
    <w:rsid w:val="008743D7"/>
    <w:rsid w:val="00875BE9"/>
    <w:rsid w:val="00876857"/>
    <w:rsid w:val="008808C6"/>
    <w:rsid w:val="008824E1"/>
    <w:rsid w:val="008828C1"/>
    <w:rsid w:val="00884D21"/>
    <w:rsid w:val="00887DFB"/>
    <w:rsid w:val="00890CCA"/>
    <w:rsid w:val="00893FD8"/>
    <w:rsid w:val="00895F12"/>
    <w:rsid w:val="00896F78"/>
    <w:rsid w:val="008A1B44"/>
    <w:rsid w:val="008A36AA"/>
    <w:rsid w:val="008A3ACE"/>
    <w:rsid w:val="008A3BD1"/>
    <w:rsid w:val="008A4B10"/>
    <w:rsid w:val="008B089F"/>
    <w:rsid w:val="008B18AC"/>
    <w:rsid w:val="008B3B48"/>
    <w:rsid w:val="008B3D35"/>
    <w:rsid w:val="008B494E"/>
    <w:rsid w:val="008B4EB3"/>
    <w:rsid w:val="008B6929"/>
    <w:rsid w:val="008C0575"/>
    <w:rsid w:val="008C0A3B"/>
    <w:rsid w:val="008C0BBD"/>
    <w:rsid w:val="008C1039"/>
    <w:rsid w:val="008C1241"/>
    <w:rsid w:val="008C17E8"/>
    <w:rsid w:val="008C2333"/>
    <w:rsid w:val="008C28D6"/>
    <w:rsid w:val="008C393B"/>
    <w:rsid w:val="008C4D97"/>
    <w:rsid w:val="008C505E"/>
    <w:rsid w:val="008C613D"/>
    <w:rsid w:val="008C6EF8"/>
    <w:rsid w:val="008C7819"/>
    <w:rsid w:val="008D0944"/>
    <w:rsid w:val="008D211A"/>
    <w:rsid w:val="008D2479"/>
    <w:rsid w:val="008D3344"/>
    <w:rsid w:val="008D34CE"/>
    <w:rsid w:val="008D4601"/>
    <w:rsid w:val="008D49AA"/>
    <w:rsid w:val="008D4AAB"/>
    <w:rsid w:val="008D7A4C"/>
    <w:rsid w:val="008D7BD4"/>
    <w:rsid w:val="008D7DAD"/>
    <w:rsid w:val="008E4E1D"/>
    <w:rsid w:val="008E523D"/>
    <w:rsid w:val="008E71F5"/>
    <w:rsid w:val="008E7976"/>
    <w:rsid w:val="008F1FA4"/>
    <w:rsid w:val="008F6514"/>
    <w:rsid w:val="0090289E"/>
    <w:rsid w:val="00902E01"/>
    <w:rsid w:val="00903D2F"/>
    <w:rsid w:val="00903FE5"/>
    <w:rsid w:val="00904F44"/>
    <w:rsid w:val="00905905"/>
    <w:rsid w:val="00905929"/>
    <w:rsid w:val="00906773"/>
    <w:rsid w:val="00906907"/>
    <w:rsid w:val="00912539"/>
    <w:rsid w:val="0091436E"/>
    <w:rsid w:val="009261BF"/>
    <w:rsid w:val="009267D0"/>
    <w:rsid w:val="009274E6"/>
    <w:rsid w:val="00927C88"/>
    <w:rsid w:val="009307FB"/>
    <w:rsid w:val="00934679"/>
    <w:rsid w:val="00934C4C"/>
    <w:rsid w:val="00934F69"/>
    <w:rsid w:val="0093507E"/>
    <w:rsid w:val="00935D41"/>
    <w:rsid w:val="0093713E"/>
    <w:rsid w:val="009378A7"/>
    <w:rsid w:val="009406E5"/>
    <w:rsid w:val="009407BB"/>
    <w:rsid w:val="0094082D"/>
    <w:rsid w:val="00940F13"/>
    <w:rsid w:val="00940F65"/>
    <w:rsid w:val="009413EE"/>
    <w:rsid w:val="00942192"/>
    <w:rsid w:val="00942810"/>
    <w:rsid w:val="009440A0"/>
    <w:rsid w:val="00946033"/>
    <w:rsid w:val="0094629D"/>
    <w:rsid w:val="009463C1"/>
    <w:rsid w:val="0095040E"/>
    <w:rsid w:val="00950853"/>
    <w:rsid w:val="009522C0"/>
    <w:rsid w:val="00952E9B"/>
    <w:rsid w:val="00955026"/>
    <w:rsid w:val="00955EA9"/>
    <w:rsid w:val="00956831"/>
    <w:rsid w:val="00956875"/>
    <w:rsid w:val="00956BBD"/>
    <w:rsid w:val="00964340"/>
    <w:rsid w:val="00964C65"/>
    <w:rsid w:val="00965B71"/>
    <w:rsid w:val="00965FA5"/>
    <w:rsid w:val="00967B63"/>
    <w:rsid w:val="009700A1"/>
    <w:rsid w:val="00970C2A"/>
    <w:rsid w:val="009724C6"/>
    <w:rsid w:val="00973B1C"/>
    <w:rsid w:val="00974677"/>
    <w:rsid w:val="0097487E"/>
    <w:rsid w:val="009756D7"/>
    <w:rsid w:val="00975AB7"/>
    <w:rsid w:val="009770B7"/>
    <w:rsid w:val="00977719"/>
    <w:rsid w:val="009778C3"/>
    <w:rsid w:val="009826D4"/>
    <w:rsid w:val="009828B7"/>
    <w:rsid w:val="00991310"/>
    <w:rsid w:val="00991E2B"/>
    <w:rsid w:val="009926B6"/>
    <w:rsid w:val="009928E0"/>
    <w:rsid w:val="00993D06"/>
    <w:rsid w:val="00994B74"/>
    <w:rsid w:val="00994F34"/>
    <w:rsid w:val="009957C4"/>
    <w:rsid w:val="0099597A"/>
    <w:rsid w:val="009959E4"/>
    <w:rsid w:val="0099692B"/>
    <w:rsid w:val="009972FC"/>
    <w:rsid w:val="009A0940"/>
    <w:rsid w:val="009B048D"/>
    <w:rsid w:val="009B068D"/>
    <w:rsid w:val="009B0EC1"/>
    <w:rsid w:val="009B2849"/>
    <w:rsid w:val="009B433B"/>
    <w:rsid w:val="009C1493"/>
    <w:rsid w:val="009C24D0"/>
    <w:rsid w:val="009C3AAE"/>
    <w:rsid w:val="009C722D"/>
    <w:rsid w:val="009C7DF9"/>
    <w:rsid w:val="009D0570"/>
    <w:rsid w:val="009D3465"/>
    <w:rsid w:val="009D4E1B"/>
    <w:rsid w:val="009D5D65"/>
    <w:rsid w:val="009D5F9D"/>
    <w:rsid w:val="009E152B"/>
    <w:rsid w:val="009E1CEE"/>
    <w:rsid w:val="009E277A"/>
    <w:rsid w:val="009E2882"/>
    <w:rsid w:val="009E2FCF"/>
    <w:rsid w:val="009E3CEE"/>
    <w:rsid w:val="009E7788"/>
    <w:rsid w:val="009F0D2B"/>
    <w:rsid w:val="009F0F73"/>
    <w:rsid w:val="009F2E93"/>
    <w:rsid w:val="009F34A3"/>
    <w:rsid w:val="009F4B48"/>
    <w:rsid w:val="009F57E4"/>
    <w:rsid w:val="009F6F2C"/>
    <w:rsid w:val="009F7126"/>
    <w:rsid w:val="009F7BF4"/>
    <w:rsid w:val="00A00065"/>
    <w:rsid w:val="00A00712"/>
    <w:rsid w:val="00A0119B"/>
    <w:rsid w:val="00A011A6"/>
    <w:rsid w:val="00A013B5"/>
    <w:rsid w:val="00A01EC1"/>
    <w:rsid w:val="00A02550"/>
    <w:rsid w:val="00A026EB"/>
    <w:rsid w:val="00A044DA"/>
    <w:rsid w:val="00A04A91"/>
    <w:rsid w:val="00A051A1"/>
    <w:rsid w:val="00A068FB"/>
    <w:rsid w:val="00A079FE"/>
    <w:rsid w:val="00A109ED"/>
    <w:rsid w:val="00A10E56"/>
    <w:rsid w:val="00A13F66"/>
    <w:rsid w:val="00A162C3"/>
    <w:rsid w:val="00A16D17"/>
    <w:rsid w:val="00A16D87"/>
    <w:rsid w:val="00A17265"/>
    <w:rsid w:val="00A17D72"/>
    <w:rsid w:val="00A223A6"/>
    <w:rsid w:val="00A241C5"/>
    <w:rsid w:val="00A243DD"/>
    <w:rsid w:val="00A26402"/>
    <w:rsid w:val="00A32E5B"/>
    <w:rsid w:val="00A334B5"/>
    <w:rsid w:val="00A34CD8"/>
    <w:rsid w:val="00A354F0"/>
    <w:rsid w:val="00A35DBB"/>
    <w:rsid w:val="00A366CC"/>
    <w:rsid w:val="00A37B84"/>
    <w:rsid w:val="00A42A9B"/>
    <w:rsid w:val="00A4443F"/>
    <w:rsid w:val="00A4520F"/>
    <w:rsid w:val="00A45ECF"/>
    <w:rsid w:val="00A4659C"/>
    <w:rsid w:val="00A46A15"/>
    <w:rsid w:val="00A50066"/>
    <w:rsid w:val="00A50FA9"/>
    <w:rsid w:val="00A50FCB"/>
    <w:rsid w:val="00A511A1"/>
    <w:rsid w:val="00A517C0"/>
    <w:rsid w:val="00A52F02"/>
    <w:rsid w:val="00A537EF"/>
    <w:rsid w:val="00A53A3A"/>
    <w:rsid w:val="00A5462E"/>
    <w:rsid w:val="00A54BD1"/>
    <w:rsid w:val="00A56B49"/>
    <w:rsid w:val="00A5785F"/>
    <w:rsid w:val="00A60B6B"/>
    <w:rsid w:val="00A61871"/>
    <w:rsid w:val="00A61BCC"/>
    <w:rsid w:val="00A62D1E"/>
    <w:rsid w:val="00A677FF"/>
    <w:rsid w:val="00A679F6"/>
    <w:rsid w:val="00A70024"/>
    <w:rsid w:val="00A71EBA"/>
    <w:rsid w:val="00A76842"/>
    <w:rsid w:val="00A80539"/>
    <w:rsid w:val="00A80982"/>
    <w:rsid w:val="00A80D1E"/>
    <w:rsid w:val="00A81810"/>
    <w:rsid w:val="00A82A11"/>
    <w:rsid w:val="00A8347A"/>
    <w:rsid w:val="00A8396A"/>
    <w:rsid w:val="00A83F5A"/>
    <w:rsid w:val="00A84A2F"/>
    <w:rsid w:val="00A86B8E"/>
    <w:rsid w:val="00A9105A"/>
    <w:rsid w:val="00A91D9B"/>
    <w:rsid w:val="00A94573"/>
    <w:rsid w:val="00A9566F"/>
    <w:rsid w:val="00A95CDC"/>
    <w:rsid w:val="00A97E45"/>
    <w:rsid w:val="00AA00E9"/>
    <w:rsid w:val="00AA15D4"/>
    <w:rsid w:val="00AA2257"/>
    <w:rsid w:val="00AA2A4C"/>
    <w:rsid w:val="00AA4193"/>
    <w:rsid w:val="00AA6F21"/>
    <w:rsid w:val="00AB1CC3"/>
    <w:rsid w:val="00AB1D01"/>
    <w:rsid w:val="00AB317B"/>
    <w:rsid w:val="00AB384E"/>
    <w:rsid w:val="00AB3E70"/>
    <w:rsid w:val="00AB4B80"/>
    <w:rsid w:val="00AB524F"/>
    <w:rsid w:val="00AB680E"/>
    <w:rsid w:val="00AB7675"/>
    <w:rsid w:val="00AC1BB6"/>
    <w:rsid w:val="00AC3855"/>
    <w:rsid w:val="00AC4952"/>
    <w:rsid w:val="00AC4C91"/>
    <w:rsid w:val="00AC511C"/>
    <w:rsid w:val="00AC6212"/>
    <w:rsid w:val="00AC7EC5"/>
    <w:rsid w:val="00AD3816"/>
    <w:rsid w:val="00AD383A"/>
    <w:rsid w:val="00AD3998"/>
    <w:rsid w:val="00AD4665"/>
    <w:rsid w:val="00AD547D"/>
    <w:rsid w:val="00AD6396"/>
    <w:rsid w:val="00AE1C36"/>
    <w:rsid w:val="00AE1C9F"/>
    <w:rsid w:val="00AE407B"/>
    <w:rsid w:val="00AE707A"/>
    <w:rsid w:val="00AE7427"/>
    <w:rsid w:val="00AF131B"/>
    <w:rsid w:val="00AF1460"/>
    <w:rsid w:val="00AF1789"/>
    <w:rsid w:val="00AF3989"/>
    <w:rsid w:val="00AF636B"/>
    <w:rsid w:val="00AF73E0"/>
    <w:rsid w:val="00AF794C"/>
    <w:rsid w:val="00B00300"/>
    <w:rsid w:val="00B00533"/>
    <w:rsid w:val="00B00A99"/>
    <w:rsid w:val="00B0106F"/>
    <w:rsid w:val="00B029DE"/>
    <w:rsid w:val="00B03B79"/>
    <w:rsid w:val="00B04022"/>
    <w:rsid w:val="00B05866"/>
    <w:rsid w:val="00B05B8B"/>
    <w:rsid w:val="00B100A9"/>
    <w:rsid w:val="00B1104C"/>
    <w:rsid w:val="00B128EF"/>
    <w:rsid w:val="00B1350A"/>
    <w:rsid w:val="00B13D65"/>
    <w:rsid w:val="00B13E77"/>
    <w:rsid w:val="00B15406"/>
    <w:rsid w:val="00B16578"/>
    <w:rsid w:val="00B165BB"/>
    <w:rsid w:val="00B1748A"/>
    <w:rsid w:val="00B20D8D"/>
    <w:rsid w:val="00B221E8"/>
    <w:rsid w:val="00B22429"/>
    <w:rsid w:val="00B229F1"/>
    <w:rsid w:val="00B22FFD"/>
    <w:rsid w:val="00B26C55"/>
    <w:rsid w:val="00B27A5A"/>
    <w:rsid w:val="00B32560"/>
    <w:rsid w:val="00B32CB2"/>
    <w:rsid w:val="00B33516"/>
    <w:rsid w:val="00B35A6C"/>
    <w:rsid w:val="00B37120"/>
    <w:rsid w:val="00B401F9"/>
    <w:rsid w:val="00B40CA7"/>
    <w:rsid w:val="00B41003"/>
    <w:rsid w:val="00B41F8E"/>
    <w:rsid w:val="00B424D9"/>
    <w:rsid w:val="00B42CAF"/>
    <w:rsid w:val="00B4321A"/>
    <w:rsid w:val="00B43C82"/>
    <w:rsid w:val="00B43CB7"/>
    <w:rsid w:val="00B4499D"/>
    <w:rsid w:val="00B45723"/>
    <w:rsid w:val="00B459DF"/>
    <w:rsid w:val="00B47596"/>
    <w:rsid w:val="00B5019E"/>
    <w:rsid w:val="00B50592"/>
    <w:rsid w:val="00B509EB"/>
    <w:rsid w:val="00B521EE"/>
    <w:rsid w:val="00B535AA"/>
    <w:rsid w:val="00B535FF"/>
    <w:rsid w:val="00B5404B"/>
    <w:rsid w:val="00B5615C"/>
    <w:rsid w:val="00B567B0"/>
    <w:rsid w:val="00B57835"/>
    <w:rsid w:val="00B57AE6"/>
    <w:rsid w:val="00B60DC8"/>
    <w:rsid w:val="00B62A07"/>
    <w:rsid w:val="00B62A99"/>
    <w:rsid w:val="00B63389"/>
    <w:rsid w:val="00B63B19"/>
    <w:rsid w:val="00B640CE"/>
    <w:rsid w:val="00B65BC2"/>
    <w:rsid w:val="00B65F39"/>
    <w:rsid w:val="00B7056B"/>
    <w:rsid w:val="00B71D01"/>
    <w:rsid w:val="00B73903"/>
    <w:rsid w:val="00B75CAC"/>
    <w:rsid w:val="00B75E41"/>
    <w:rsid w:val="00B77C14"/>
    <w:rsid w:val="00B80242"/>
    <w:rsid w:val="00B80FA9"/>
    <w:rsid w:val="00B81D61"/>
    <w:rsid w:val="00B8321E"/>
    <w:rsid w:val="00B83F09"/>
    <w:rsid w:val="00B85AD4"/>
    <w:rsid w:val="00B87604"/>
    <w:rsid w:val="00B91816"/>
    <w:rsid w:val="00B92B51"/>
    <w:rsid w:val="00B943F8"/>
    <w:rsid w:val="00B94DEB"/>
    <w:rsid w:val="00B95FA8"/>
    <w:rsid w:val="00B962C1"/>
    <w:rsid w:val="00B968DB"/>
    <w:rsid w:val="00B96B96"/>
    <w:rsid w:val="00B96EA2"/>
    <w:rsid w:val="00B97EDE"/>
    <w:rsid w:val="00BA016F"/>
    <w:rsid w:val="00BA21F4"/>
    <w:rsid w:val="00BA312F"/>
    <w:rsid w:val="00BA3999"/>
    <w:rsid w:val="00BA5561"/>
    <w:rsid w:val="00BA7274"/>
    <w:rsid w:val="00BB2A3E"/>
    <w:rsid w:val="00BB449B"/>
    <w:rsid w:val="00BB4F2D"/>
    <w:rsid w:val="00BB58D3"/>
    <w:rsid w:val="00BB5DC7"/>
    <w:rsid w:val="00BB5F05"/>
    <w:rsid w:val="00BB66C8"/>
    <w:rsid w:val="00BB6B4E"/>
    <w:rsid w:val="00BB6CDB"/>
    <w:rsid w:val="00BB7090"/>
    <w:rsid w:val="00BC0AAC"/>
    <w:rsid w:val="00BC2AED"/>
    <w:rsid w:val="00BC306F"/>
    <w:rsid w:val="00BC4027"/>
    <w:rsid w:val="00BC50BE"/>
    <w:rsid w:val="00BC7994"/>
    <w:rsid w:val="00BD10D7"/>
    <w:rsid w:val="00BD1C2D"/>
    <w:rsid w:val="00BD2729"/>
    <w:rsid w:val="00BD3FCA"/>
    <w:rsid w:val="00BD4E9B"/>
    <w:rsid w:val="00BD5EC3"/>
    <w:rsid w:val="00BE02FD"/>
    <w:rsid w:val="00BE1233"/>
    <w:rsid w:val="00BE2265"/>
    <w:rsid w:val="00BF1F79"/>
    <w:rsid w:val="00BF22EB"/>
    <w:rsid w:val="00BF266B"/>
    <w:rsid w:val="00BF2DDA"/>
    <w:rsid w:val="00BF3C7E"/>
    <w:rsid w:val="00C00EDD"/>
    <w:rsid w:val="00C00EF1"/>
    <w:rsid w:val="00C00FD4"/>
    <w:rsid w:val="00C010FC"/>
    <w:rsid w:val="00C020FE"/>
    <w:rsid w:val="00C022C0"/>
    <w:rsid w:val="00C0243E"/>
    <w:rsid w:val="00C024C3"/>
    <w:rsid w:val="00C04A56"/>
    <w:rsid w:val="00C05074"/>
    <w:rsid w:val="00C06760"/>
    <w:rsid w:val="00C070D8"/>
    <w:rsid w:val="00C075A7"/>
    <w:rsid w:val="00C107AA"/>
    <w:rsid w:val="00C10B9E"/>
    <w:rsid w:val="00C1144D"/>
    <w:rsid w:val="00C14109"/>
    <w:rsid w:val="00C1452A"/>
    <w:rsid w:val="00C16957"/>
    <w:rsid w:val="00C16CBB"/>
    <w:rsid w:val="00C16FB1"/>
    <w:rsid w:val="00C175FF"/>
    <w:rsid w:val="00C20EEB"/>
    <w:rsid w:val="00C22952"/>
    <w:rsid w:val="00C23E73"/>
    <w:rsid w:val="00C23FC3"/>
    <w:rsid w:val="00C243B5"/>
    <w:rsid w:val="00C2448C"/>
    <w:rsid w:val="00C25C9A"/>
    <w:rsid w:val="00C27252"/>
    <w:rsid w:val="00C273A3"/>
    <w:rsid w:val="00C27992"/>
    <w:rsid w:val="00C279C7"/>
    <w:rsid w:val="00C27AB1"/>
    <w:rsid w:val="00C305F8"/>
    <w:rsid w:val="00C3173D"/>
    <w:rsid w:val="00C3303D"/>
    <w:rsid w:val="00C34077"/>
    <w:rsid w:val="00C34B5A"/>
    <w:rsid w:val="00C3769D"/>
    <w:rsid w:val="00C37885"/>
    <w:rsid w:val="00C411CE"/>
    <w:rsid w:val="00C41801"/>
    <w:rsid w:val="00C41AD8"/>
    <w:rsid w:val="00C42971"/>
    <w:rsid w:val="00C44440"/>
    <w:rsid w:val="00C4445B"/>
    <w:rsid w:val="00C4712C"/>
    <w:rsid w:val="00C47825"/>
    <w:rsid w:val="00C52C2B"/>
    <w:rsid w:val="00C53230"/>
    <w:rsid w:val="00C540E2"/>
    <w:rsid w:val="00C54BAE"/>
    <w:rsid w:val="00C570BC"/>
    <w:rsid w:val="00C57797"/>
    <w:rsid w:val="00C62FE9"/>
    <w:rsid w:val="00C63971"/>
    <w:rsid w:val="00C63C85"/>
    <w:rsid w:val="00C64CE8"/>
    <w:rsid w:val="00C653D0"/>
    <w:rsid w:val="00C6636A"/>
    <w:rsid w:val="00C67898"/>
    <w:rsid w:val="00C67EFF"/>
    <w:rsid w:val="00C72DCC"/>
    <w:rsid w:val="00C73140"/>
    <w:rsid w:val="00C73448"/>
    <w:rsid w:val="00C745D4"/>
    <w:rsid w:val="00C7698F"/>
    <w:rsid w:val="00C76A44"/>
    <w:rsid w:val="00C76B01"/>
    <w:rsid w:val="00C774F0"/>
    <w:rsid w:val="00C80521"/>
    <w:rsid w:val="00C82F76"/>
    <w:rsid w:val="00C84E19"/>
    <w:rsid w:val="00C85606"/>
    <w:rsid w:val="00C85F74"/>
    <w:rsid w:val="00C87B65"/>
    <w:rsid w:val="00C90A79"/>
    <w:rsid w:val="00C9250C"/>
    <w:rsid w:val="00C92574"/>
    <w:rsid w:val="00C92A39"/>
    <w:rsid w:val="00C9402E"/>
    <w:rsid w:val="00C948FE"/>
    <w:rsid w:val="00C951C8"/>
    <w:rsid w:val="00CA0AD0"/>
    <w:rsid w:val="00CA0FDF"/>
    <w:rsid w:val="00CA290B"/>
    <w:rsid w:val="00CA3501"/>
    <w:rsid w:val="00CA43A5"/>
    <w:rsid w:val="00CA7339"/>
    <w:rsid w:val="00CB1236"/>
    <w:rsid w:val="00CB15B8"/>
    <w:rsid w:val="00CB1FFA"/>
    <w:rsid w:val="00CB408F"/>
    <w:rsid w:val="00CC21FC"/>
    <w:rsid w:val="00CC2871"/>
    <w:rsid w:val="00CC398D"/>
    <w:rsid w:val="00CC44BB"/>
    <w:rsid w:val="00CC45E0"/>
    <w:rsid w:val="00CC5B14"/>
    <w:rsid w:val="00CD127B"/>
    <w:rsid w:val="00CD1E69"/>
    <w:rsid w:val="00CD6903"/>
    <w:rsid w:val="00CE085E"/>
    <w:rsid w:val="00CE2C5B"/>
    <w:rsid w:val="00CE33D7"/>
    <w:rsid w:val="00CE4E5A"/>
    <w:rsid w:val="00CE52EC"/>
    <w:rsid w:val="00CE62B1"/>
    <w:rsid w:val="00CE75CC"/>
    <w:rsid w:val="00CE792F"/>
    <w:rsid w:val="00CF1E05"/>
    <w:rsid w:val="00CF3197"/>
    <w:rsid w:val="00CF3B11"/>
    <w:rsid w:val="00CF5576"/>
    <w:rsid w:val="00CF7236"/>
    <w:rsid w:val="00D01796"/>
    <w:rsid w:val="00D03473"/>
    <w:rsid w:val="00D03D88"/>
    <w:rsid w:val="00D03E94"/>
    <w:rsid w:val="00D06510"/>
    <w:rsid w:val="00D075D5"/>
    <w:rsid w:val="00D07BBB"/>
    <w:rsid w:val="00D1016C"/>
    <w:rsid w:val="00D11FB6"/>
    <w:rsid w:val="00D12139"/>
    <w:rsid w:val="00D135AC"/>
    <w:rsid w:val="00D13EC3"/>
    <w:rsid w:val="00D1440D"/>
    <w:rsid w:val="00D1574F"/>
    <w:rsid w:val="00D201F0"/>
    <w:rsid w:val="00D207B0"/>
    <w:rsid w:val="00D21844"/>
    <w:rsid w:val="00D218E7"/>
    <w:rsid w:val="00D21E03"/>
    <w:rsid w:val="00D22853"/>
    <w:rsid w:val="00D22E0A"/>
    <w:rsid w:val="00D233D6"/>
    <w:rsid w:val="00D2386C"/>
    <w:rsid w:val="00D25017"/>
    <w:rsid w:val="00D2699F"/>
    <w:rsid w:val="00D26E48"/>
    <w:rsid w:val="00D26F92"/>
    <w:rsid w:val="00D27285"/>
    <w:rsid w:val="00D332CF"/>
    <w:rsid w:val="00D33B84"/>
    <w:rsid w:val="00D3440E"/>
    <w:rsid w:val="00D34C86"/>
    <w:rsid w:val="00D35681"/>
    <w:rsid w:val="00D35DC2"/>
    <w:rsid w:val="00D36564"/>
    <w:rsid w:val="00D42FF7"/>
    <w:rsid w:val="00D430EF"/>
    <w:rsid w:val="00D43C00"/>
    <w:rsid w:val="00D43D89"/>
    <w:rsid w:val="00D44154"/>
    <w:rsid w:val="00D46D47"/>
    <w:rsid w:val="00D4730A"/>
    <w:rsid w:val="00D504D4"/>
    <w:rsid w:val="00D52E89"/>
    <w:rsid w:val="00D64211"/>
    <w:rsid w:val="00D642E7"/>
    <w:rsid w:val="00D653B3"/>
    <w:rsid w:val="00D657E0"/>
    <w:rsid w:val="00D727A5"/>
    <w:rsid w:val="00D751F6"/>
    <w:rsid w:val="00D76D42"/>
    <w:rsid w:val="00D76FFA"/>
    <w:rsid w:val="00D772BC"/>
    <w:rsid w:val="00D773CA"/>
    <w:rsid w:val="00D77929"/>
    <w:rsid w:val="00D81E12"/>
    <w:rsid w:val="00D850E6"/>
    <w:rsid w:val="00D85239"/>
    <w:rsid w:val="00D87F40"/>
    <w:rsid w:val="00D910E3"/>
    <w:rsid w:val="00D920F5"/>
    <w:rsid w:val="00D95D45"/>
    <w:rsid w:val="00D969F3"/>
    <w:rsid w:val="00DA028C"/>
    <w:rsid w:val="00DA4454"/>
    <w:rsid w:val="00DA4A31"/>
    <w:rsid w:val="00DA6C78"/>
    <w:rsid w:val="00DB052A"/>
    <w:rsid w:val="00DB2A6E"/>
    <w:rsid w:val="00DB399E"/>
    <w:rsid w:val="00DB3A66"/>
    <w:rsid w:val="00DB41ED"/>
    <w:rsid w:val="00DB6D1E"/>
    <w:rsid w:val="00DB785B"/>
    <w:rsid w:val="00DC20E6"/>
    <w:rsid w:val="00DC3F1E"/>
    <w:rsid w:val="00DC4BB5"/>
    <w:rsid w:val="00DC6D00"/>
    <w:rsid w:val="00DC7643"/>
    <w:rsid w:val="00DC7B8D"/>
    <w:rsid w:val="00DD09F6"/>
    <w:rsid w:val="00DD23CB"/>
    <w:rsid w:val="00DD27CD"/>
    <w:rsid w:val="00DD288D"/>
    <w:rsid w:val="00DD3508"/>
    <w:rsid w:val="00DD3C71"/>
    <w:rsid w:val="00DD4BE1"/>
    <w:rsid w:val="00DD5EF7"/>
    <w:rsid w:val="00DD63BB"/>
    <w:rsid w:val="00DD7107"/>
    <w:rsid w:val="00DE0239"/>
    <w:rsid w:val="00DE0F05"/>
    <w:rsid w:val="00DE1FFC"/>
    <w:rsid w:val="00DE219C"/>
    <w:rsid w:val="00DE6FA9"/>
    <w:rsid w:val="00DE7154"/>
    <w:rsid w:val="00DF02A2"/>
    <w:rsid w:val="00DF193B"/>
    <w:rsid w:val="00DF1ADC"/>
    <w:rsid w:val="00DF4B0B"/>
    <w:rsid w:val="00DF7148"/>
    <w:rsid w:val="00DF756F"/>
    <w:rsid w:val="00DF7BBC"/>
    <w:rsid w:val="00E002D0"/>
    <w:rsid w:val="00E00597"/>
    <w:rsid w:val="00E01D80"/>
    <w:rsid w:val="00E02C47"/>
    <w:rsid w:val="00E02FD3"/>
    <w:rsid w:val="00E03E2F"/>
    <w:rsid w:val="00E07EF0"/>
    <w:rsid w:val="00E13709"/>
    <w:rsid w:val="00E1524E"/>
    <w:rsid w:val="00E15F98"/>
    <w:rsid w:val="00E16219"/>
    <w:rsid w:val="00E16C53"/>
    <w:rsid w:val="00E20E93"/>
    <w:rsid w:val="00E2191B"/>
    <w:rsid w:val="00E21E78"/>
    <w:rsid w:val="00E25EBE"/>
    <w:rsid w:val="00E264C1"/>
    <w:rsid w:val="00E27014"/>
    <w:rsid w:val="00E27EF9"/>
    <w:rsid w:val="00E30A02"/>
    <w:rsid w:val="00E30D3D"/>
    <w:rsid w:val="00E32400"/>
    <w:rsid w:val="00E328FD"/>
    <w:rsid w:val="00E3290E"/>
    <w:rsid w:val="00E3309B"/>
    <w:rsid w:val="00E342E4"/>
    <w:rsid w:val="00E37B4E"/>
    <w:rsid w:val="00E40119"/>
    <w:rsid w:val="00E422E3"/>
    <w:rsid w:val="00E4307B"/>
    <w:rsid w:val="00E43800"/>
    <w:rsid w:val="00E43AE9"/>
    <w:rsid w:val="00E43E3C"/>
    <w:rsid w:val="00E47A76"/>
    <w:rsid w:val="00E53193"/>
    <w:rsid w:val="00E55439"/>
    <w:rsid w:val="00E569C5"/>
    <w:rsid w:val="00E60E29"/>
    <w:rsid w:val="00E610BF"/>
    <w:rsid w:val="00E62782"/>
    <w:rsid w:val="00E64B4C"/>
    <w:rsid w:val="00E65DF4"/>
    <w:rsid w:val="00E6760D"/>
    <w:rsid w:val="00E70996"/>
    <w:rsid w:val="00E70B9F"/>
    <w:rsid w:val="00E70D30"/>
    <w:rsid w:val="00E74F61"/>
    <w:rsid w:val="00E75EAA"/>
    <w:rsid w:val="00E80771"/>
    <w:rsid w:val="00E8140F"/>
    <w:rsid w:val="00E8293C"/>
    <w:rsid w:val="00E83B9F"/>
    <w:rsid w:val="00E84B23"/>
    <w:rsid w:val="00E85119"/>
    <w:rsid w:val="00E87DEF"/>
    <w:rsid w:val="00E9089D"/>
    <w:rsid w:val="00E90C32"/>
    <w:rsid w:val="00E910FE"/>
    <w:rsid w:val="00E91941"/>
    <w:rsid w:val="00E9254B"/>
    <w:rsid w:val="00E9271E"/>
    <w:rsid w:val="00E92CB5"/>
    <w:rsid w:val="00E93163"/>
    <w:rsid w:val="00E93838"/>
    <w:rsid w:val="00E93C2C"/>
    <w:rsid w:val="00E95C3C"/>
    <w:rsid w:val="00E96497"/>
    <w:rsid w:val="00E96DD6"/>
    <w:rsid w:val="00EA0EF1"/>
    <w:rsid w:val="00EA1896"/>
    <w:rsid w:val="00EA2612"/>
    <w:rsid w:val="00EA3021"/>
    <w:rsid w:val="00EA48B5"/>
    <w:rsid w:val="00EA4A84"/>
    <w:rsid w:val="00EA57B2"/>
    <w:rsid w:val="00EB0BE4"/>
    <w:rsid w:val="00EB1943"/>
    <w:rsid w:val="00EB1B6A"/>
    <w:rsid w:val="00EB2039"/>
    <w:rsid w:val="00EB53E8"/>
    <w:rsid w:val="00EB68B2"/>
    <w:rsid w:val="00EB6B6D"/>
    <w:rsid w:val="00EB6D0B"/>
    <w:rsid w:val="00EB703F"/>
    <w:rsid w:val="00EB793E"/>
    <w:rsid w:val="00EC06F0"/>
    <w:rsid w:val="00EC0A26"/>
    <w:rsid w:val="00EC1077"/>
    <w:rsid w:val="00EC128E"/>
    <w:rsid w:val="00EC2AE8"/>
    <w:rsid w:val="00EC5D3E"/>
    <w:rsid w:val="00EC6AD7"/>
    <w:rsid w:val="00ED12A9"/>
    <w:rsid w:val="00ED5E14"/>
    <w:rsid w:val="00ED6664"/>
    <w:rsid w:val="00ED6E52"/>
    <w:rsid w:val="00ED7001"/>
    <w:rsid w:val="00ED76D3"/>
    <w:rsid w:val="00EE15F4"/>
    <w:rsid w:val="00EE1C58"/>
    <w:rsid w:val="00EE1DC4"/>
    <w:rsid w:val="00EE2365"/>
    <w:rsid w:val="00EE739A"/>
    <w:rsid w:val="00EF08BD"/>
    <w:rsid w:val="00EF0D7B"/>
    <w:rsid w:val="00EF0DE2"/>
    <w:rsid w:val="00EF249C"/>
    <w:rsid w:val="00EF3098"/>
    <w:rsid w:val="00EF55A1"/>
    <w:rsid w:val="00EF59DC"/>
    <w:rsid w:val="00EF6757"/>
    <w:rsid w:val="00F00F8F"/>
    <w:rsid w:val="00F012AF"/>
    <w:rsid w:val="00F015A3"/>
    <w:rsid w:val="00F01E96"/>
    <w:rsid w:val="00F025CF"/>
    <w:rsid w:val="00F04F8D"/>
    <w:rsid w:val="00F0514D"/>
    <w:rsid w:val="00F051A7"/>
    <w:rsid w:val="00F05233"/>
    <w:rsid w:val="00F05B50"/>
    <w:rsid w:val="00F066F7"/>
    <w:rsid w:val="00F07319"/>
    <w:rsid w:val="00F0739E"/>
    <w:rsid w:val="00F0751B"/>
    <w:rsid w:val="00F1034A"/>
    <w:rsid w:val="00F1093A"/>
    <w:rsid w:val="00F10E07"/>
    <w:rsid w:val="00F11057"/>
    <w:rsid w:val="00F12CAF"/>
    <w:rsid w:val="00F1407D"/>
    <w:rsid w:val="00F14264"/>
    <w:rsid w:val="00F160DA"/>
    <w:rsid w:val="00F16BEE"/>
    <w:rsid w:val="00F175B0"/>
    <w:rsid w:val="00F20E3D"/>
    <w:rsid w:val="00F20EB2"/>
    <w:rsid w:val="00F20F54"/>
    <w:rsid w:val="00F215F7"/>
    <w:rsid w:val="00F21943"/>
    <w:rsid w:val="00F2377E"/>
    <w:rsid w:val="00F23C6C"/>
    <w:rsid w:val="00F244E5"/>
    <w:rsid w:val="00F2600B"/>
    <w:rsid w:val="00F27ABB"/>
    <w:rsid w:val="00F27F17"/>
    <w:rsid w:val="00F33659"/>
    <w:rsid w:val="00F33D85"/>
    <w:rsid w:val="00F36797"/>
    <w:rsid w:val="00F37A10"/>
    <w:rsid w:val="00F41005"/>
    <w:rsid w:val="00F410E5"/>
    <w:rsid w:val="00F417C1"/>
    <w:rsid w:val="00F42CF4"/>
    <w:rsid w:val="00F43AB4"/>
    <w:rsid w:val="00F46B9E"/>
    <w:rsid w:val="00F50292"/>
    <w:rsid w:val="00F503CA"/>
    <w:rsid w:val="00F505A3"/>
    <w:rsid w:val="00F50EC1"/>
    <w:rsid w:val="00F513B1"/>
    <w:rsid w:val="00F5172E"/>
    <w:rsid w:val="00F5178E"/>
    <w:rsid w:val="00F52CB1"/>
    <w:rsid w:val="00F53106"/>
    <w:rsid w:val="00F54C13"/>
    <w:rsid w:val="00F554B5"/>
    <w:rsid w:val="00F569B7"/>
    <w:rsid w:val="00F579D9"/>
    <w:rsid w:val="00F57A3A"/>
    <w:rsid w:val="00F60F73"/>
    <w:rsid w:val="00F613FF"/>
    <w:rsid w:val="00F61C37"/>
    <w:rsid w:val="00F62690"/>
    <w:rsid w:val="00F626FE"/>
    <w:rsid w:val="00F62A0C"/>
    <w:rsid w:val="00F63242"/>
    <w:rsid w:val="00F63E3D"/>
    <w:rsid w:val="00F66C96"/>
    <w:rsid w:val="00F67144"/>
    <w:rsid w:val="00F67965"/>
    <w:rsid w:val="00F67D43"/>
    <w:rsid w:val="00F72E97"/>
    <w:rsid w:val="00F777CD"/>
    <w:rsid w:val="00F77B26"/>
    <w:rsid w:val="00F77BED"/>
    <w:rsid w:val="00F81763"/>
    <w:rsid w:val="00F8202B"/>
    <w:rsid w:val="00F8290F"/>
    <w:rsid w:val="00F8372F"/>
    <w:rsid w:val="00F83DF3"/>
    <w:rsid w:val="00F8477D"/>
    <w:rsid w:val="00F84CF5"/>
    <w:rsid w:val="00F867CB"/>
    <w:rsid w:val="00F87095"/>
    <w:rsid w:val="00F912F7"/>
    <w:rsid w:val="00F91A7C"/>
    <w:rsid w:val="00F92262"/>
    <w:rsid w:val="00F93BB9"/>
    <w:rsid w:val="00F9438E"/>
    <w:rsid w:val="00F95AAC"/>
    <w:rsid w:val="00F96243"/>
    <w:rsid w:val="00F96544"/>
    <w:rsid w:val="00F97C55"/>
    <w:rsid w:val="00FA033C"/>
    <w:rsid w:val="00FA09D1"/>
    <w:rsid w:val="00FA104A"/>
    <w:rsid w:val="00FA587D"/>
    <w:rsid w:val="00FA7581"/>
    <w:rsid w:val="00FA7C0D"/>
    <w:rsid w:val="00FB1FCB"/>
    <w:rsid w:val="00FB261A"/>
    <w:rsid w:val="00FB2AF0"/>
    <w:rsid w:val="00FB4149"/>
    <w:rsid w:val="00FB4F60"/>
    <w:rsid w:val="00FB5834"/>
    <w:rsid w:val="00FB6318"/>
    <w:rsid w:val="00FB690C"/>
    <w:rsid w:val="00FB7481"/>
    <w:rsid w:val="00FC1A5A"/>
    <w:rsid w:val="00FC36BE"/>
    <w:rsid w:val="00FC3B09"/>
    <w:rsid w:val="00FC42B3"/>
    <w:rsid w:val="00FC5BF3"/>
    <w:rsid w:val="00FC5D75"/>
    <w:rsid w:val="00FC6F4D"/>
    <w:rsid w:val="00FD00A5"/>
    <w:rsid w:val="00FD1C93"/>
    <w:rsid w:val="00FD2A49"/>
    <w:rsid w:val="00FD5489"/>
    <w:rsid w:val="00FD6126"/>
    <w:rsid w:val="00FD698D"/>
    <w:rsid w:val="00FE253A"/>
    <w:rsid w:val="00FE3E53"/>
    <w:rsid w:val="00FE4F60"/>
    <w:rsid w:val="00FE6F44"/>
    <w:rsid w:val="00FF1EF0"/>
    <w:rsid w:val="00FF1F29"/>
    <w:rsid w:val="00FF2CA6"/>
    <w:rsid w:val="00FF3689"/>
    <w:rsid w:val="00FF3F64"/>
    <w:rsid w:val="00FF5412"/>
    <w:rsid w:val="00FF741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438891A5"/>
  <w15:docId w15:val="{EE2075B1-0329-47F9-8FE3-95BADD24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653"/>
    <w:rPr>
      <w:rFonts w:asciiTheme="majorHAnsi" w:hAnsiTheme="majorHAnsi"/>
      <w:sz w:val="24"/>
      <w:szCs w:val="24"/>
      <w:lang w:val="en-GB"/>
    </w:rPr>
  </w:style>
  <w:style w:type="paragraph" w:styleId="Heading1">
    <w:name w:val="heading 1"/>
    <w:basedOn w:val="Normal"/>
    <w:next w:val="Normal"/>
    <w:link w:val="Heading1Char"/>
    <w:uiPriority w:val="9"/>
    <w:qFormat/>
    <w:rsid w:val="006B6981"/>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67B63"/>
    <w:pPr>
      <w:keepNext/>
      <w:keepLines/>
      <w:spacing w:before="40"/>
      <w:outlineLvl w:val="1"/>
    </w:pPr>
    <w:rPr>
      <w:rFonts w:eastAsiaTheme="majorEastAsia"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981"/>
    <w:pPr>
      <w:tabs>
        <w:tab w:val="center" w:pos="4536"/>
        <w:tab w:val="right" w:pos="9072"/>
      </w:tabs>
    </w:pPr>
  </w:style>
  <w:style w:type="character" w:customStyle="1" w:styleId="HeaderChar">
    <w:name w:val="Header Char"/>
    <w:basedOn w:val="DefaultParagraphFont"/>
    <w:link w:val="Header"/>
    <w:uiPriority w:val="99"/>
    <w:rsid w:val="006B6981"/>
    <w:rPr>
      <w:sz w:val="24"/>
      <w:szCs w:val="24"/>
      <w:lang w:val="de-CH" w:eastAsia="de-DE"/>
    </w:rPr>
  </w:style>
  <w:style w:type="paragraph" w:styleId="Footer">
    <w:name w:val="footer"/>
    <w:basedOn w:val="Normal"/>
    <w:link w:val="FooterChar"/>
    <w:uiPriority w:val="99"/>
    <w:unhideWhenUsed/>
    <w:rsid w:val="006B6981"/>
    <w:pPr>
      <w:tabs>
        <w:tab w:val="center" w:pos="4536"/>
        <w:tab w:val="right" w:pos="9072"/>
      </w:tabs>
    </w:pPr>
  </w:style>
  <w:style w:type="character" w:customStyle="1" w:styleId="FooterChar">
    <w:name w:val="Footer Char"/>
    <w:basedOn w:val="DefaultParagraphFont"/>
    <w:link w:val="Footer"/>
    <w:uiPriority w:val="99"/>
    <w:rsid w:val="006B6981"/>
    <w:rPr>
      <w:sz w:val="24"/>
      <w:szCs w:val="24"/>
      <w:lang w:val="de-CH" w:eastAsia="de-DE"/>
    </w:rPr>
  </w:style>
  <w:style w:type="character" w:customStyle="1" w:styleId="Heading1Char">
    <w:name w:val="Heading 1 Char"/>
    <w:basedOn w:val="DefaultParagraphFont"/>
    <w:link w:val="Heading1"/>
    <w:uiPriority w:val="9"/>
    <w:rsid w:val="006B6981"/>
    <w:rPr>
      <w:rFonts w:asciiTheme="majorHAnsi" w:eastAsiaTheme="majorEastAsia" w:hAnsiTheme="majorHAnsi" w:cstheme="majorBidi"/>
      <w:b/>
      <w:bCs/>
      <w:color w:val="345A8A" w:themeColor="accent1" w:themeShade="B5"/>
      <w:sz w:val="32"/>
      <w:szCs w:val="32"/>
      <w:lang w:val="de-CH" w:eastAsia="de-DE"/>
    </w:rPr>
  </w:style>
  <w:style w:type="paragraph" w:styleId="Title">
    <w:name w:val="Title"/>
    <w:basedOn w:val="Normal"/>
    <w:next w:val="Normal"/>
    <w:link w:val="TitleChar"/>
    <w:uiPriority w:val="10"/>
    <w:qFormat/>
    <w:rsid w:val="006B6981"/>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6981"/>
    <w:rPr>
      <w:rFonts w:asciiTheme="majorHAnsi" w:eastAsiaTheme="majorEastAsia" w:hAnsiTheme="majorHAnsi" w:cstheme="majorBidi"/>
      <w:color w:val="17365D" w:themeColor="text2" w:themeShade="BF"/>
      <w:spacing w:val="5"/>
      <w:kern w:val="28"/>
      <w:sz w:val="52"/>
      <w:szCs w:val="52"/>
      <w:lang w:val="de-CH" w:eastAsia="de-DE"/>
    </w:rPr>
  </w:style>
  <w:style w:type="paragraph" w:styleId="ListParagraph">
    <w:name w:val="List Paragraph"/>
    <w:basedOn w:val="Normal"/>
    <w:uiPriority w:val="34"/>
    <w:qFormat/>
    <w:rsid w:val="00A17D72"/>
    <w:pPr>
      <w:ind w:left="720"/>
      <w:contextualSpacing/>
    </w:pPr>
  </w:style>
  <w:style w:type="character" w:customStyle="1" w:styleId="Heading2Char">
    <w:name w:val="Heading 2 Char"/>
    <w:basedOn w:val="DefaultParagraphFont"/>
    <w:link w:val="Heading2"/>
    <w:uiPriority w:val="9"/>
    <w:rsid w:val="00967B63"/>
    <w:rPr>
      <w:rFonts w:asciiTheme="majorHAnsi" w:eastAsiaTheme="majorEastAsia" w:hAnsiTheme="majorHAnsi" w:cstheme="majorBidi"/>
      <w:color w:val="365F91" w:themeColor="accent1" w:themeShade="BF"/>
      <w:sz w:val="26"/>
      <w:szCs w:val="26"/>
      <w:lang w:val="de-CH" w:eastAsia="de-DE"/>
    </w:rPr>
  </w:style>
  <w:style w:type="character" w:customStyle="1" w:styleId="apple-converted-space">
    <w:name w:val="apple-converted-space"/>
    <w:basedOn w:val="DefaultParagraphFont"/>
    <w:rsid w:val="0023774C"/>
  </w:style>
  <w:style w:type="character" w:styleId="Hyperlink">
    <w:name w:val="Hyperlink"/>
    <w:basedOn w:val="DefaultParagraphFont"/>
    <w:uiPriority w:val="99"/>
    <w:unhideWhenUsed/>
    <w:rsid w:val="005347E7"/>
    <w:rPr>
      <w:color w:val="0000FF"/>
      <w:u w:val="single"/>
    </w:rPr>
  </w:style>
  <w:style w:type="table" w:styleId="TableGrid">
    <w:name w:val="Table Grid"/>
    <w:basedOn w:val="TableNormal"/>
    <w:uiPriority w:val="59"/>
    <w:rsid w:val="0027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33D0"/>
    <w:pPr>
      <w:spacing w:after="200"/>
    </w:pPr>
    <w:rPr>
      <w:rFonts w:ascii="Times New Roman" w:hAnsi="Times New Roman"/>
      <w:b/>
      <w:bCs/>
      <w:color w:val="4F81BD" w:themeColor="accent1"/>
      <w:sz w:val="18"/>
      <w:szCs w:val="18"/>
      <w:lang w:val="de-CH" w:eastAsia="de-DE"/>
    </w:rPr>
  </w:style>
  <w:style w:type="character" w:styleId="PlaceholderText">
    <w:name w:val="Placeholder Text"/>
    <w:basedOn w:val="DefaultParagraphFont"/>
    <w:uiPriority w:val="99"/>
    <w:semiHidden/>
    <w:rsid w:val="003C6C83"/>
    <w:rPr>
      <w:color w:val="808080"/>
    </w:rPr>
  </w:style>
  <w:style w:type="paragraph" w:styleId="BalloonText">
    <w:name w:val="Balloon Text"/>
    <w:basedOn w:val="Normal"/>
    <w:link w:val="BalloonTextChar"/>
    <w:uiPriority w:val="99"/>
    <w:semiHidden/>
    <w:unhideWhenUsed/>
    <w:rsid w:val="00591CA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CA9"/>
    <w:rPr>
      <w:rFonts w:ascii="Segoe UI" w:hAnsi="Segoe UI" w:cs="Segoe UI"/>
      <w:sz w:val="18"/>
      <w:szCs w:val="18"/>
      <w:lang w:val="en-GB"/>
    </w:rPr>
  </w:style>
  <w:style w:type="character" w:styleId="CommentReference">
    <w:name w:val="annotation reference"/>
    <w:basedOn w:val="DefaultParagraphFont"/>
    <w:uiPriority w:val="99"/>
    <w:semiHidden/>
    <w:unhideWhenUsed/>
    <w:rsid w:val="00D76FFA"/>
    <w:rPr>
      <w:sz w:val="16"/>
      <w:szCs w:val="16"/>
    </w:rPr>
  </w:style>
  <w:style w:type="paragraph" w:styleId="CommentText">
    <w:name w:val="annotation text"/>
    <w:basedOn w:val="Normal"/>
    <w:link w:val="CommentTextChar"/>
    <w:uiPriority w:val="99"/>
    <w:semiHidden/>
    <w:unhideWhenUsed/>
    <w:rsid w:val="00D76FFA"/>
    <w:rPr>
      <w:sz w:val="20"/>
      <w:szCs w:val="20"/>
    </w:rPr>
  </w:style>
  <w:style w:type="character" w:customStyle="1" w:styleId="CommentTextChar">
    <w:name w:val="Comment Text Char"/>
    <w:basedOn w:val="DefaultParagraphFont"/>
    <w:link w:val="CommentText"/>
    <w:uiPriority w:val="99"/>
    <w:semiHidden/>
    <w:rsid w:val="00D76FFA"/>
    <w:rPr>
      <w:rFonts w:asciiTheme="majorHAnsi" w:hAnsiTheme="majorHAnsi"/>
      <w:lang w:val="en-GB"/>
    </w:rPr>
  </w:style>
  <w:style w:type="paragraph" w:styleId="CommentSubject">
    <w:name w:val="annotation subject"/>
    <w:basedOn w:val="CommentText"/>
    <w:next w:val="CommentText"/>
    <w:link w:val="CommentSubjectChar"/>
    <w:uiPriority w:val="99"/>
    <w:semiHidden/>
    <w:unhideWhenUsed/>
    <w:rsid w:val="00D76FFA"/>
    <w:rPr>
      <w:b/>
      <w:bCs/>
    </w:rPr>
  </w:style>
  <w:style w:type="character" w:customStyle="1" w:styleId="CommentSubjectChar">
    <w:name w:val="Comment Subject Char"/>
    <w:basedOn w:val="CommentTextChar"/>
    <w:link w:val="CommentSubject"/>
    <w:uiPriority w:val="99"/>
    <w:semiHidden/>
    <w:rsid w:val="00D76FFA"/>
    <w:rPr>
      <w:rFonts w:asciiTheme="majorHAnsi" w:hAnsiTheme="majorHAnsi"/>
      <w:b/>
      <w:bCs/>
      <w:lang w:val="en-GB"/>
    </w:rPr>
  </w:style>
  <w:style w:type="paragraph" w:styleId="NoSpacing">
    <w:name w:val="No Spacing"/>
    <w:link w:val="NoSpacingChar"/>
    <w:uiPriority w:val="1"/>
    <w:qFormat/>
    <w:rsid w:val="00310459"/>
    <w:rPr>
      <w:rFonts w:asciiTheme="minorHAnsi" w:hAnsiTheme="minorHAnsi" w:cstheme="minorBidi"/>
      <w:sz w:val="22"/>
      <w:szCs w:val="22"/>
      <w:lang w:val="en-US" w:eastAsia="en-US"/>
    </w:rPr>
  </w:style>
  <w:style w:type="character" w:customStyle="1" w:styleId="NoSpacingChar">
    <w:name w:val="No Spacing Char"/>
    <w:basedOn w:val="DefaultParagraphFont"/>
    <w:link w:val="NoSpacing"/>
    <w:uiPriority w:val="1"/>
    <w:rsid w:val="00310459"/>
    <w:rPr>
      <w:rFonts w:asciiTheme="minorHAnsi" w:hAnsiTheme="minorHAnsi" w:cstheme="minorBidi"/>
      <w:sz w:val="22"/>
      <w:szCs w:val="22"/>
      <w:lang w:val="en-US" w:eastAsia="en-US"/>
    </w:rPr>
  </w:style>
  <w:style w:type="paragraph" w:styleId="FootnoteText">
    <w:name w:val="footnote text"/>
    <w:basedOn w:val="Normal"/>
    <w:link w:val="FootnoteTextChar"/>
    <w:uiPriority w:val="99"/>
    <w:unhideWhenUsed/>
    <w:rsid w:val="00532B53"/>
    <w:rPr>
      <w:sz w:val="20"/>
      <w:szCs w:val="20"/>
    </w:rPr>
  </w:style>
  <w:style w:type="character" w:customStyle="1" w:styleId="FootnoteTextChar">
    <w:name w:val="Footnote Text Char"/>
    <w:basedOn w:val="DefaultParagraphFont"/>
    <w:link w:val="FootnoteText"/>
    <w:uiPriority w:val="99"/>
    <w:rsid w:val="00532B53"/>
    <w:rPr>
      <w:rFonts w:asciiTheme="majorHAnsi" w:hAnsiTheme="majorHAnsi"/>
      <w:lang w:val="en-GB"/>
    </w:rPr>
  </w:style>
  <w:style w:type="character" w:styleId="FootnoteReference">
    <w:name w:val="footnote reference"/>
    <w:basedOn w:val="DefaultParagraphFont"/>
    <w:uiPriority w:val="99"/>
    <w:unhideWhenUsed/>
    <w:rsid w:val="00532B53"/>
    <w:rPr>
      <w:vertAlign w:val="superscript"/>
    </w:rPr>
  </w:style>
  <w:style w:type="character" w:styleId="FollowedHyperlink">
    <w:name w:val="FollowedHyperlink"/>
    <w:basedOn w:val="DefaultParagraphFont"/>
    <w:uiPriority w:val="99"/>
    <w:semiHidden/>
    <w:unhideWhenUsed/>
    <w:rsid w:val="00750A9C"/>
    <w:rPr>
      <w:color w:val="800080" w:themeColor="followedHyperlink"/>
      <w:u w:val="single"/>
    </w:rPr>
  </w:style>
  <w:style w:type="paragraph" w:styleId="NormalWeb">
    <w:name w:val="Normal (Web)"/>
    <w:basedOn w:val="Normal"/>
    <w:uiPriority w:val="99"/>
    <w:semiHidden/>
    <w:unhideWhenUsed/>
    <w:rsid w:val="00F93BB9"/>
    <w:pPr>
      <w:spacing w:before="100" w:beforeAutospacing="1" w:after="100" w:afterAutospacing="1"/>
    </w:pPr>
    <w:rPr>
      <w:rFonts w:ascii="Times New Roman" w:eastAsia="Times New Roman" w:hAnsi="Times New Roman"/>
      <w:lang w:val="en-US" w:eastAsia="en-US"/>
    </w:rPr>
  </w:style>
  <w:style w:type="paragraph" w:customStyle="1" w:styleId="Default">
    <w:name w:val="Default"/>
    <w:rsid w:val="0033059D"/>
    <w:pPr>
      <w:autoSpaceDE w:val="0"/>
      <w:autoSpaceDN w:val="0"/>
      <w:adjustRightInd w:val="0"/>
    </w:pPr>
    <w:rPr>
      <w:rFonts w:ascii="SNBOfficina Sans Book" w:hAnsi="SNBOfficina Sans Book" w:cs="SNBOfficina Sans Book"/>
      <w:color w:val="000000"/>
      <w:sz w:val="24"/>
      <w:szCs w:val="24"/>
      <w:lang w:val="en-US"/>
    </w:rPr>
  </w:style>
  <w:style w:type="paragraph" w:styleId="Bibliography">
    <w:name w:val="Bibliography"/>
    <w:basedOn w:val="Normal"/>
    <w:next w:val="Normal"/>
    <w:uiPriority w:val="37"/>
    <w:unhideWhenUsed/>
    <w:rsid w:val="007874AC"/>
  </w:style>
  <w:style w:type="character" w:styleId="UnresolvedMention">
    <w:name w:val="Unresolved Mention"/>
    <w:basedOn w:val="DefaultParagraphFont"/>
    <w:uiPriority w:val="99"/>
    <w:semiHidden/>
    <w:unhideWhenUsed/>
    <w:rsid w:val="005B0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7347">
      <w:bodyDiv w:val="1"/>
      <w:marLeft w:val="0"/>
      <w:marRight w:val="0"/>
      <w:marTop w:val="0"/>
      <w:marBottom w:val="0"/>
      <w:divBdr>
        <w:top w:val="none" w:sz="0" w:space="0" w:color="auto"/>
        <w:left w:val="none" w:sz="0" w:space="0" w:color="auto"/>
        <w:bottom w:val="none" w:sz="0" w:space="0" w:color="auto"/>
        <w:right w:val="none" w:sz="0" w:space="0" w:color="auto"/>
      </w:divBdr>
    </w:div>
    <w:div w:id="595750477">
      <w:bodyDiv w:val="1"/>
      <w:marLeft w:val="0"/>
      <w:marRight w:val="0"/>
      <w:marTop w:val="0"/>
      <w:marBottom w:val="0"/>
      <w:divBdr>
        <w:top w:val="none" w:sz="0" w:space="0" w:color="auto"/>
        <w:left w:val="none" w:sz="0" w:space="0" w:color="auto"/>
        <w:bottom w:val="none" w:sz="0" w:space="0" w:color="auto"/>
        <w:right w:val="none" w:sz="0" w:space="0" w:color="auto"/>
      </w:divBdr>
    </w:div>
    <w:div w:id="850876362">
      <w:bodyDiv w:val="1"/>
      <w:marLeft w:val="0"/>
      <w:marRight w:val="0"/>
      <w:marTop w:val="0"/>
      <w:marBottom w:val="0"/>
      <w:divBdr>
        <w:top w:val="none" w:sz="0" w:space="0" w:color="auto"/>
        <w:left w:val="none" w:sz="0" w:space="0" w:color="auto"/>
        <w:bottom w:val="none" w:sz="0" w:space="0" w:color="auto"/>
        <w:right w:val="none" w:sz="0" w:space="0" w:color="auto"/>
      </w:divBdr>
      <w:divsChild>
        <w:div w:id="1459449164">
          <w:marLeft w:val="360"/>
          <w:marRight w:val="0"/>
          <w:marTop w:val="200"/>
          <w:marBottom w:val="0"/>
          <w:divBdr>
            <w:top w:val="none" w:sz="0" w:space="0" w:color="auto"/>
            <w:left w:val="none" w:sz="0" w:space="0" w:color="auto"/>
            <w:bottom w:val="none" w:sz="0" w:space="0" w:color="auto"/>
            <w:right w:val="none" w:sz="0" w:space="0" w:color="auto"/>
          </w:divBdr>
        </w:div>
        <w:div w:id="1935743757">
          <w:marLeft w:val="360"/>
          <w:marRight w:val="0"/>
          <w:marTop w:val="200"/>
          <w:marBottom w:val="0"/>
          <w:divBdr>
            <w:top w:val="none" w:sz="0" w:space="0" w:color="auto"/>
            <w:left w:val="none" w:sz="0" w:space="0" w:color="auto"/>
            <w:bottom w:val="none" w:sz="0" w:space="0" w:color="auto"/>
            <w:right w:val="none" w:sz="0" w:space="0" w:color="auto"/>
          </w:divBdr>
        </w:div>
        <w:div w:id="720517469">
          <w:marLeft w:val="360"/>
          <w:marRight w:val="0"/>
          <w:marTop w:val="200"/>
          <w:marBottom w:val="0"/>
          <w:divBdr>
            <w:top w:val="none" w:sz="0" w:space="0" w:color="auto"/>
            <w:left w:val="none" w:sz="0" w:space="0" w:color="auto"/>
            <w:bottom w:val="none" w:sz="0" w:space="0" w:color="auto"/>
            <w:right w:val="none" w:sz="0" w:space="0" w:color="auto"/>
          </w:divBdr>
        </w:div>
        <w:div w:id="1176113071">
          <w:marLeft w:val="360"/>
          <w:marRight w:val="0"/>
          <w:marTop w:val="200"/>
          <w:marBottom w:val="0"/>
          <w:divBdr>
            <w:top w:val="none" w:sz="0" w:space="0" w:color="auto"/>
            <w:left w:val="none" w:sz="0" w:space="0" w:color="auto"/>
            <w:bottom w:val="none" w:sz="0" w:space="0" w:color="auto"/>
            <w:right w:val="none" w:sz="0" w:space="0" w:color="auto"/>
          </w:divBdr>
        </w:div>
      </w:divsChild>
    </w:div>
    <w:div w:id="1584335402">
      <w:bodyDiv w:val="1"/>
      <w:marLeft w:val="0"/>
      <w:marRight w:val="0"/>
      <w:marTop w:val="0"/>
      <w:marBottom w:val="0"/>
      <w:divBdr>
        <w:top w:val="none" w:sz="0" w:space="0" w:color="auto"/>
        <w:left w:val="none" w:sz="0" w:space="0" w:color="auto"/>
        <w:bottom w:val="none" w:sz="0" w:space="0" w:color="auto"/>
        <w:right w:val="none" w:sz="0" w:space="0" w:color="auto"/>
      </w:divBdr>
    </w:div>
    <w:div w:id="1905527109">
      <w:bodyDiv w:val="1"/>
      <w:marLeft w:val="0"/>
      <w:marRight w:val="0"/>
      <w:marTop w:val="0"/>
      <w:marBottom w:val="0"/>
      <w:divBdr>
        <w:top w:val="none" w:sz="0" w:space="0" w:color="auto"/>
        <w:left w:val="none" w:sz="0" w:space="0" w:color="auto"/>
        <w:bottom w:val="none" w:sz="0" w:space="0" w:color="auto"/>
        <w:right w:val="none" w:sz="0" w:space="0" w:color="auto"/>
      </w:divBdr>
    </w:div>
    <w:div w:id="2042322936">
      <w:bodyDiv w:val="1"/>
      <w:marLeft w:val="0"/>
      <w:marRight w:val="0"/>
      <w:marTop w:val="0"/>
      <w:marBottom w:val="0"/>
      <w:divBdr>
        <w:top w:val="none" w:sz="0" w:space="0" w:color="auto"/>
        <w:left w:val="none" w:sz="0" w:space="0" w:color="auto"/>
        <w:bottom w:val="none" w:sz="0" w:space="0" w:color="auto"/>
        <w:right w:val="none" w:sz="0" w:space="0" w:color="auto"/>
      </w:divBdr>
      <w:divsChild>
        <w:div w:id="475340371">
          <w:marLeft w:val="1080"/>
          <w:marRight w:val="0"/>
          <w:marTop w:val="100"/>
          <w:marBottom w:val="0"/>
          <w:divBdr>
            <w:top w:val="none" w:sz="0" w:space="0" w:color="auto"/>
            <w:left w:val="none" w:sz="0" w:space="0" w:color="auto"/>
            <w:bottom w:val="none" w:sz="0" w:space="0" w:color="auto"/>
            <w:right w:val="none" w:sz="0" w:space="0" w:color="auto"/>
          </w:divBdr>
        </w:div>
      </w:divsChild>
    </w:div>
    <w:div w:id="2063167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cial-complexity.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msci.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bfs.admin.ch/bfs/portal/de/index/themen/05/06/blank/key/index.html" TargetMode="External"/><Relationship Id="rId10" Type="http://schemas.openxmlformats.org/officeDocument/2006/relationships/hyperlink" Target="http://www.wuestpartner.com/publikatione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tephenwolfram.com/about/" TargetMode="External"/><Relationship Id="rId14"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D30DC-3029-45A1-BE7D-7CB05394F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5190</Words>
  <Characters>29586</Characters>
  <Application>Microsoft Office Word</Application>
  <DocSecurity>0</DocSecurity>
  <Lines>246</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Kostadinov</dc:creator>
  <cp:keywords/>
  <dc:description/>
  <cp:lastModifiedBy>Ankenbrand Thomas HSLU W</cp:lastModifiedBy>
  <cp:revision>648</cp:revision>
  <cp:lastPrinted>2018-08-15T15:18:00Z</cp:lastPrinted>
  <dcterms:created xsi:type="dcterms:W3CDTF">2015-02-10T09:10:00Z</dcterms:created>
  <dcterms:modified xsi:type="dcterms:W3CDTF">2021-10-06T19:27:00Z</dcterms:modified>
</cp:coreProperties>
</file>