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8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38"/>
        <w:gridCol w:w="2000"/>
        <w:gridCol w:w="200"/>
        <w:gridCol w:w="2000"/>
      </w:tblGrid>
      <w:tr>
        <w:tc>
          <w:tcPr>
            <w:tcW w:type="dxa" w:w="10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40"/>
                <w:szCs w:val="40"/>
              </w:rPr>
              <w:t xml:space="preserve">Product Backlog Report</w:t>
            </w:r>
          </w:p>
          <w:p>
            <w:pPr>
              <w:spacing w:after="60" w:line="252"/>
            </w:pPr>
            <w:r>
              <w:rPr>
                <w:rFonts w:ascii="Century Gothic" w:cs="Century Gothic" w:eastAsia="Century Gothic" w:hAnsi="Century Gothic"/>
                <w:b/>
                <w:bCs/>
                <w:color w:val="222222"/>
                <w:sz w:val="22"/>
                <w:szCs w:val="22"/>
              </w:rPr>
              <w:t xml:space="preserve">DataPack Energy Forecaster – CeDInt floor 1 (TBDA)</w:t>
            </w:r>
          </w:p>
          <w:p>
            <w:pPr>
              <w:spacing w:after="60" w:line="276"/>
            </w:pPr>
            <w:r>
              <w:rPr>
                <w:rFonts w:ascii="Century Gothic" w:cs="Century Gothic" w:eastAsia="Century Gothic" w:hAnsi="Century Gothic"/>
                <w:color w:val="444444"/>
                <w:sz w:val="17"/>
                <w:szCs w:val="17"/>
              </w:rPr>
              <w:t xml:space="preserve">Product: an analytical and predictive solution that transforms the historical CeDInt sensor data into understandable, spatially contextualised and evaluated energy insights and forecasts for the building: a day-ahead (24 h) forecast of electrical energy per zone and load type, with the conditions that drive it.</w:t>
            </w:r>
          </w:p>
          <w:p>
            <w:pPr>
              <w:spacing w:after="60" w:line="276"/>
            </w:pPr>
            <w:r>
              <w:rPr>
                <w:rFonts w:ascii="Century Gothic" w:cs="Century Gothic" w:eastAsia="Century Gothic" w:hAnsi="Century Gothic"/>
                <w:color w:val="444444"/>
                <w:sz w:val="17"/>
                <w:szCs w:val="17"/>
              </w:rPr>
              <w:t xml:space="preserve">This is a product backlog: every item is a feature or value increment for a stakeholder (sponsor, analyst, building manager, facilities technician). The team tasks of the Week 5 sprint plan (A1–E4) are not backlog items; they appear in the delivery plan (section 5) as the way each feature is built.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5"/>
                <w:szCs w:val="15"/>
              </w:rPr>
              <w:t xml:space="preserve">Status on 5 Oct 2026 · 32 items · 20 High, 11 Medium, 1 Low · Sprint 1 = Oct 1–14, 2 = Oct 15–28, 3 = Oct 29–Nov 11, 4 = Nov 12–25, Post = Dec 1–14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</w:tblGrid>
            <w:tr>
              <w:tc>
                <w:tcPr>
                  <w:tcW w:type="dxa" w:w="2000"/>
                  <w:tcBorders>
                    <w:top w:val="single" w:color="9FB3CF" w:sz="4"/>
                    <w:left w:val="single" w:color="9FB3CF" w:sz="4"/>
                    <w:bottom w:val="single" w:color="9FB3CF" w:sz="4"/>
                    <w:right w:val="single" w:color="9FB3CF" w:sz="4"/>
                  </w:tcBorders>
                  <w:shd w:fill="22222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entury Gothic" w:cs="Century Gothic" w:eastAsia="Century Gothic" w:hAnsi="Century Gothic"/>
                      <w:caps/>
                      <w:color w:val="FFFFFF"/>
                      <w:sz w:val="15"/>
                      <w:szCs w:val="15"/>
                    </w:rPr>
                    <w:t xml:space="preserve">Status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FB3CF" w:sz="4"/>
                    <w:left w:val="single" w:color="9FB3CF" w:sz="4"/>
                    <w:bottom w:val="single" w:color="9FB3CF" w:sz="4"/>
                    <w:right w:val="single" w:color="9FB3CF" w:sz="4"/>
                  </w:tcBorders>
                  <w:shd w:fill="5BC0EB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entury Gothic" w:cs="Century Gothic" w:eastAsia="Century Gothic" w:hAnsi="Century Gothic"/>
                      <w:color w:val="FFFFFF"/>
                      <w:sz w:val="15"/>
                      <w:szCs w:val="15"/>
                    </w:rPr>
                    <w:t xml:space="preserve">Not Started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FB3CF" w:sz="4"/>
                    <w:left w:val="single" w:color="9FB3CF" w:sz="4"/>
                    <w:bottom w:val="single" w:color="9FB3CF" w:sz="4"/>
                    <w:right w:val="single" w:color="9FB3CF" w:sz="4"/>
                  </w:tcBorders>
                  <w:shd w:fill="7CB34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entury Gothic" w:cs="Century Gothic" w:eastAsia="Century Gothic" w:hAnsi="Century Gothic"/>
                      <w:color w:val="FFFFFF"/>
                      <w:sz w:val="15"/>
                      <w:szCs w:val="15"/>
                    </w:rPr>
                    <w:t xml:space="preserve">In Progress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FB3CF" w:sz="4"/>
                    <w:left w:val="single" w:color="9FB3CF" w:sz="4"/>
                    <w:bottom w:val="single" w:color="9FB3CF" w:sz="4"/>
                    <w:right w:val="single" w:color="9FB3CF" w:sz="4"/>
                  </w:tcBorders>
                  <w:shd w:fill="3E9E47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entury Gothic" w:cs="Century Gothic" w:eastAsia="Century Gothic" w:hAnsi="Century Gothic"/>
                      <w:color w:val="FFFFFF"/>
                      <w:sz w:val="15"/>
                      <w:szCs w:val="15"/>
                    </w:rPr>
                    <w:t xml:space="preserve">Complete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FB3CF" w:sz="4"/>
                    <w:left w:val="single" w:color="9FB3CF" w:sz="4"/>
                    <w:bottom w:val="single" w:color="9FB3CF" w:sz="4"/>
                    <w:right w:val="single" w:color="9FB3CF" w:sz="4"/>
                  </w:tcBorders>
                  <w:shd w:fill="E0A030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entury Gothic" w:cs="Century Gothic" w:eastAsia="Century Gothic" w:hAnsi="Century Gothic"/>
                      <w:color w:val="FFFFFF"/>
                      <w:sz w:val="15"/>
                      <w:szCs w:val="15"/>
                    </w:rPr>
                    <w:t xml:space="preserve">Overdue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FB3CF" w:sz="4"/>
                    <w:left w:val="single" w:color="9FB3CF" w:sz="4"/>
                    <w:bottom w:val="single" w:color="9FB3CF" w:sz="4"/>
                    <w:right w:val="single" w:color="9FB3CF" w:sz="4"/>
                  </w:tcBorders>
                  <w:shd w:fill="BDBDBD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entury Gothic" w:cs="Century Gothic" w:eastAsia="Century Gothic" w:hAnsi="Century Gothic"/>
                      <w:color w:val="222222"/>
                      <w:sz w:val="15"/>
                      <w:szCs w:val="15"/>
                    </w:rPr>
                    <w:t xml:space="preserve">On Hold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</w:tblGrid>
            <w:tr>
              <w:tc>
                <w:tcPr>
                  <w:tcW w:type="dxa" w:w="2000"/>
                  <w:tcBorders>
                    <w:top w:val="single" w:color="9FB3CF" w:sz="4"/>
                    <w:left w:val="single" w:color="9FB3CF" w:sz="4"/>
                    <w:bottom w:val="single" w:color="9FB3CF" w:sz="4"/>
                    <w:right w:val="single" w:color="9FB3CF" w:sz="4"/>
                  </w:tcBorders>
                  <w:shd w:fill="222222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entury Gothic" w:cs="Century Gothic" w:eastAsia="Century Gothic" w:hAnsi="Century Gothic"/>
                      <w:caps/>
                      <w:color w:val="FFFFFF"/>
                      <w:sz w:val="15"/>
                      <w:szCs w:val="15"/>
                    </w:rPr>
                    <w:t xml:space="preserve">Priority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FB3CF" w:sz="4"/>
                    <w:left w:val="single" w:color="9FB3CF" w:sz="4"/>
                    <w:bottom w:val="single" w:color="9FB3CF" w:sz="4"/>
                    <w:right w:val="single" w:color="9FB3CF" w:sz="4"/>
                  </w:tcBorders>
                  <w:shd w:fill="D9363E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entury Gothic" w:cs="Century Gothic" w:eastAsia="Century Gothic" w:hAnsi="Century Gothic"/>
                      <w:color w:val="FFFFFF"/>
                      <w:sz w:val="15"/>
                      <w:szCs w:val="15"/>
                    </w:rPr>
                    <w:t xml:space="preserve">High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FB3CF" w:sz="4"/>
                    <w:left w:val="single" w:color="9FB3CF" w:sz="4"/>
                    <w:bottom w:val="single" w:color="9FB3CF" w:sz="4"/>
                    <w:right w:val="single" w:color="9FB3CF" w:sz="4"/>
                  </w:tcBorders>
                  <w:shd w:fill="D9B44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entury Gothic" w:cs="Century Gothic" w:eastAsia="Century Gothic" w:hAnsi="Century Gothic"/>
                      <w:color w:val="222222"/>
                      <w:sz w:val="15"/>
                      <w:szCs w:val="15"/>
                    </w:rPr>
                    <w:t xml:space="preserve">Medium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9FB3CF" w:sz="4"/>
                    <w:left w:val="single" w:color="9FB3CF" w:sz="4"/>
                    <w:bottom w:val="single" w:color="9FB3CF" w:sz="4"/>
                    <w:right w:val="single" w:color="9FB3CF" w:sz="4"/>
                  </w:tcBorders>
                  <w:shd w:fill="6DD3E0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center"/>
                  </w:pPr>
                  <w:r>
                    <w:rPr>
                      <w:rFonts w:ascii="Century Gothic" w:cs="Century Gothic" w:eastAsia="Century Gothic" w:hAnsi="Century Gothic"/>
                      <w:color w:val="222222"/>
                      <w:sz w:val="15"/>
                      <w:szCs w:val="15"/>
                    </w:rPr>
                    <w:t xml:space="preserve">Low</w:t>
                  </w:r>
                </w:p>
              </w:tc>
            </w:tr>
          </w:tbl>
          <w:p/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rFonts w:ascii="Century Gothic" w:cs="Century Gothic" w:eastAsia="Century Gothic" w:hAnsi="Century Gothic"/>
          <w:caps/>
          <w:color w:val="2F5597"/>
          <w:sz w:val="26"/>
          <w:szCs w:val="26"/>
        </w:rPr>
        <w:t xml:space="preserve">1. Product vision and scope</w:t>
      </w:r>
    </w:p>
    <w:p>
      <w:pPr>
        <w:spacing w:after="60" w:line="276"/>
      </w:pPr>
      <w:r>
        <w:rPr>
          <w:rFonts w:ascii="Century Gothic" w:cs="Century Gothic" w:eastAsia="Century Gothic" w:hAnsi="Century Gothic"/>
          <w:color w:val="444444"/>
          <w:sz w:val="17"/>
          <w:szCs w:val="17"/>
        </w:rPr>
        <w:t xml:space="preserve">Vision: an analytical and predictive solution that turns historical sensor data from the CeDInt building into understandable, spatially contextualised and evaluated energy insights and forecasts. Scope of this release: floor 1 (zones NE, NW, SE, SW), electrical energy by load type, hourly data 2020–2023 and 2025, day-ahead horizon, final presentation on Nov 30, 2026 and release on Moodle by Dec 14, 2026.</w:t>
      </w:r>
    </w:p>
    <w:p>
      <w:pPr>
        <w:spacing w:after="60" w:line="276"/>
      </w:pPr>
      <w:r>
        <w:rPr>
          <w:rFonts w:ascii="Century Gothic" w:cs="Century Gothic" w:eastAsia="Century Gothic" w:hAnsi="Century Gothic"/>
          <w:color w:val="444444"/>
          <w:sz w:val="17"/>
          <w:szCs w:val="17"/>
        </w:rPr>
        <w:t xml:space="preserve">Out of scope: control actions on the building, floors 2–3 (unless the data are made available), and thermal or non-electrical energy.</w:t>
      </w:r>
    </w:p>
    <w:p>
      <w:pPr>
        <w:keepNext/>
        <w:spacing w:after="100" w:before="240"/>
      </w:pPr>
      <w:r>
        <w:rPr>
          <w:rFonts w:ascii="Century Gothic" w:cs="Century Gothic" w:eastAsia="Century Gothic" w:hAnsi="Century Gothic"/>
          <w:caps/>
          <w:color w:val="2F5597"/>
          <w:sz w:val="26"/>
          <w:szCs w:val="26"/>
        </w:rPr>
        <w:t xml:space="preserve">2. Stakeholders and needs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600"/>
        <w:gridCol w:w="6638"/>
      </w:tblGrid>
      <w:tr>
        <w:trPr>
          <w:tblHeader/>
          <w:trHeight w:val="520" w:hRule="atLeast"/>
        </w:trPr>
        <w:tc>
          <w:tcPr>
            <w:tcW w:type="dxa" w:w="26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56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Need</w:t>
            </w:r>
          </w:p>
        </w:tc>
        <w:tc>
          <w:tcPr>
            <w:tcW w:type="dxa" w:w="66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Value we deliver (evidence)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UPM / Project Sponsor</w:t>
            </w:r>
          </w:p>
        </w:tc>
        <w:tc>
          <w:tcPr>
            <w:tcW w:type="dxa" w:w="56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Assess whether the project produces credible predictive evidence and clear performance metrics.</w:t>
            </w:r>
          </w:p>
        </w:tc>
        <w:tc>
          <w:tcPr>
            <w:tcW w:type="dxa" w:w="66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Forecasts tested on unseen data (2023, 2025) and judged with MAE, RMSE, CV(RMSE) ≤ 30 % and NMBE ±10 % (ASHRAE 14); full documentation (CRISP-DM, experiment log). Epics F6, F8, F9.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Energy / Building Analyst</w:t>
            </w:r>
          </w:p>
        </w:tc>
        <w:tc>
          <w:tcPr>
            <w:tcW w:type="dxa" w:w="56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Understand past consumption and what may happen next, with spatial context and forecasts.</w:t>
            </w:r>
          </w:p>
        </w:tc>
        <w:tc>
          <w:tcPr>
            <w:tcW w:type="dxa" w:w="66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Profiles by zone, load type, hour, weekday and month; relation of consumption with indoor, outdoor and calendar drivers; clean dataset and data dictionary. Epics F3, F4, F5, F9.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Building Manager</w:t>
            </w:r>
          </w:p>
        </w:tc>
        <w:tc>
          <w:tcPr>
            <w:tcW w:type="dxa" w:w="56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Short-term (24 h day-ahead) and multi-period forecasts per zone and load type (HVAC, lighting, plugs) to anticipate energy behaviour and act on consumption drivers.</w:t>
            </w:r>
          </w:p>
        </w:tc>
        <w:tc>
          <w:tcPr>
            <w:tcW w:type="dxa" w:w="66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Day-ahead forecasts, reliability indicators, driver explanations and a dashboard. Epics F1, F5, F6, F8.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Facilities Technician</w:t>
            </w:r>
          </w:p>
        </w:tc>
        <w:tc>
          <w:tcPr>
            <w:tcW w:type="dxa" w:w="56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Identify candidate anomalies and faulty meters, and know where to act.</w:t>
            </w:r>
          </w:p>
        </w:tc>
        <w:tc>
          <w:tcPr>
            <w:tcW w:type="dxa" w:w="66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Largest forecast errors as candidate anomalies; list of sensor and meter problems found. Epic F7.</w:t>
            </w:r>
          </w:p>
        </w:tc>
      </w:tr>
    </w:tbl>
    <w:p>
      <w:pPr>
        <w:keepNext/>
        <w:spacing w:after="100" w:before="240"/>
      </w:pPr>
      <w:r>
        <w:rPr>
          <w:rFonts w:ascii="Century Gothic" w:cs="Century Gothic" w:eastAsia="Century Gothic" w:hAnsi="Century Gothic"/>
          <w:caps/>
          <w:color w:val="2F5597"/>
          <w:sz w:val="26"/>
          <w:szCs w:val="26"/>
        </w:rPr>
        <w:t xml:space="preserve">3. Energy types to forecast: decision, justification and priority</w:t>
      </w:r>
    </w:p>
    <w:p>
      <w:pPr>
        <w:spacing w:after="60" w:line="276"/>
      </w:pPr>
      <w:r>
        <w:rPr>
          <w:rFonts w:ascii="Century Gothic" w:cs="Century Gothic" w:eastAsia="Century Gothic" w:hAnsi="Century Gothic"/>
          <w:color w:val="444444"/>
          <w:sz w:val="17"/>
          <w:szCs w:val="17"/>
        </w:rPr>
        <w:t xml:space="preserve">The requirements left the energy types open. The team defines them from the profiling of the 18 sheets (about 1.34 million rows) of floor 1 and prioritises them by the value for the building manager and by data quality.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6400"/>
        <w:gridCol w:w="1250"/>
        <w:gridCol w:w="2388"/>
      </w:tblGrid>
      <w:tr>
        <w:trPr>
          <w:tblHeader/>
          <w:trHeight w:val="520" w:hRule="atLeast"/>
        </w:trPr>
        <w:tc>
          <w:tcPr>
            <w:tcW w:type="dxa" w:w="25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Energy type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Decision</w:t>
            </w:r>
          </w:p>
        </w:tc>
        <w:tc>
          <w:tcPr>
            <w:tcW w:type="dxa" w:w="6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Justification (from the data)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Priority</w:t>
            </w:r>
          </w:p>
        </w:tc>
        <w:tc>
          <w:tcPr>
            <w:tcW w:type="dxa" w:w="23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Forecast offered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HVAC (zones NE, NW, SE)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In scope – core</w:t>
            </w:r>
          </w:p>
        </w:tc>
        <w:tc>
          <w:tcPr>
            <w:tcW w:type="dxa" w:w="6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Largest and most weather-dependent load; forecasting it is where the building manager can act (preconditioning, set-points). Available in 3 of 4 zones; NW HVAC has clean hourly data and is the first benchmark series.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3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Day-ahead per zone, plus multi-period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Lighting (zones NW, SE, SW)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In scope – core</w:t>
            </w:r>
          </w:p>
        </w:tc>
        <w:tc>
          <w:tcPr>
            <w:tcW w:type="dxa" w:w="6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Driven by occupancy and daylight (Lum); the clearest case for explaining drivers (more daylight → less artificial light). Available in 3 zones.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3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Day-ahead per zone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Plugs &amp; Sockets (all 4 zones)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In scope – core</w:t>
            </w:r>
          </w:p>
        </w:tc>
        <w:tc>
          <w:tcPr>
            <w:tcW w:type="dxa" w:w="6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Only load present in every zone; strongly tied to occupancy and working calendar, so it is predictable and shows whether occupancy is a valid driver.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3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Day-ahead per zone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Floor 1 total (sum of loads and zones)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In scope – core</w:t>
            </w:r>
          </w:p>
        </w:tc>
        <w:tc>
          <w:tcPr>
            <w:tcW w:type="dxa" w:w="6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Gives the building manager one figure and lets us check that zone forecasts add up. Open question for the teacher: target total, zone or load type.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23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Day-ahead and multi-period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Emergency lighting, hand dryer, RACK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In scope – secondary (control group)</w:t>
            </w:r>
          </w:p>
        </w:tc>
        <w:tc>
          <w:tcPr>
            <w:tcW w:type="dxa" w:w="6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Mostly constant or event-driven loads; useful as a control group for the driver analysis. NW emergency lighting is negative 99 % of the time (probable reversed clamp) and SW RACK ends in Dec 2021, so quality limits what can be promised.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6DD3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222222"/>
                <w:sz w:val="17"/>
                <w:szCs w:val="17"/>
              </w:rPr>
              <w:t xml:space="preserve">Low</w:t>
            </w:r>
          </w:p>
        </w:tc>
        <w:tc>
          <w:tcPr>
            <w:tcW w:type="dxa" w:w="23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Characterise and forecast only if data allow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SE Projector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6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Series is 100 % zeros: it carries no information to predict.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6B7A8C"/>
                <w:sz w:val="17"/>
                <w:szCs w:val="17"/>
              </w:rPr>
              <w:t xml:space="preserve">n/a</w:t>
            </w:r>
          </w:p>
        </w:tc>
        <w:tc>
          <w:tcPr>
            <w:tcW w:type="dxa" w:w="23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Reported as sensor issue (F7.2)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Apparent energy (Ea) and reactive/other electrical quantities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6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The forecast target is active energy (Wh, from Er). Column meaning is pending confirmation (Er behaves as active energy, Ea as apparent energy, unlike the slide labels).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6B7A8C"/>
                <w:sz w:val="17"/>
                <w:szCs w:val="17"/>
              </w:rPr>
              <w:t xml:space="preserve">n/a</w:t>
            </w:r>
          </w:p>
        </w:tc>
        <w:tc>
          <w:tcPr>
            <w:tcW w:type="dxa" w:w="23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Revisit if the teacher says otherwise</w:t>
            </w:r>
          </w:p>
        </w:tc>
      </w:tr>
    </w:tbl>
    <w:p>
      <w:pPr>
        <w:keepNext/>
        <w:spacing w:after="100" w:before="240"/>
      </w:pPr>
      <w:r>
        <w:rPr>
          <w:rFonts w:ascii="Century Gothic" w:cs="Century Gothic" w:eastAsia="Century Gothic" w:hAnsi="Century Gothic"/>
          <w:caps/>
          <w:color w:val="2F5597"/>
          <w:sz w:val="26"/>
          <w:szCs w:val="26"/>
        </w:rPr>
        <w:t xml:space="preserve">4. Product backlog</w:t>
      </w:r>
    </w:p>
    <w:p>
      <w:pPr>
        <w:spacing w:after="60" w:line="276"/>
      </w:pPr>
      <w:r>
        <w:rPr>
          <w:rFonts w:ascii="Century Gothic" w:cs="Century Gothic" w:eastAsia="Century Gothic" w:hAnsi="Century Gothic"/>
          <w:color w:val="444444"/>
          <w:sz w:val="17"/>
          <w:szCs w:val="17"/>
        </w:rPr>
        <w:t xml:space="preserve">Items are grouped by feature (epic). The sprint is the release in which the stakeholder gets the increment; the grey text under the ID shows the subteam(s) that build it.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4250"/>
        <w:gridCol w:w="3900"/>
        <w:gridCol w:w="1250"/>
        <w:gridCol w:w="950"/>
        <w:gridCol w:w="1588"/>
      </w:tblGrid>
      <w:tr>
        <w:trPr>
          <w:tblHeader/>
          <w:trHeight w:val="520" w:hRule="atLeast"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As a …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I want to …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So that …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Priority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Sprint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838"/>
            <w:gridSpan w:val="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2F559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FFFFFF"/>
                <w:sz w:val="18"/>
                <w:szCs w:val="18"/>
              </w:rPr>
              <w:t xml:space="preserve">F1. Day-ahead and multi-period energy forecast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F1.1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D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Building Manager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see a first day-ahead (next 24 h) hourly forecast of HVAC energy for the NW zone, compared with a simple baseline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can see what the product will deliver and the accuracy bar every later model must beat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1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7CB34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F1.2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D + A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Building Manager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get a day-ahead (24 h) hourly forecast of HVAC, lighting and plugs &amp; sockets energy for every zone of floor 1 where that load exists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can anticipate energy behaviour and plan operation one day ahead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3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F1.3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D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Building Manager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get a day-ahead forecast of the total energy of floor 1 (sum of the zones)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have one number for the whole floor and can check it against the zone forecasts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3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F1.4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D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Energy / Building Analyst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get multi-period forecasts (several days ahead) for HVAC and the floor total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can anticipate energy use beyond the next day and compare how accuracy decays with the horizon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B4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4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4838"/>
            <w:gridSpan w:val="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2F559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FFFFFF"/>
                <w:sz w:val="18"/>
                <w:szCs w:val="18"/>
              </w:rPr>
              <w:t xml:space="preserve">F2. Energy types in scope (decision and justification)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F2.1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E + D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UPM / Project Sponsor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have the energy types to be forecast defined, justified with the data and prioritised (see section 3)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the scope of the product is explicit, creative and agreed before modelling starts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1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7CB34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F2.2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D + B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Energy / Building Analyst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get the secondary loads (emergency lighting, hand dryer, RACK) characterised and forecast where the data allow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can tell which loads are predictable and which are constant or unreliable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6DD3E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222222"/>
                <w:sz w:val="17"/>
                <w:szCs w:val="17"/>
              </w:rPr>
              <w:t xml:space="preserve">Low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3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4838"/>
            <w:gridSpan w:val="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2F559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FFFFFF"/>
                <w:sz w:val="18"/>
                <w:szCs w:val="18"/>
              </w:rPr>
              <w:t xml:space="preserve">F3. Spatial context: building → floor → zone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F3.1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A + C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Energy / Building Analyst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see every consumption series and forecast organised by building, floor and zone (NE, NW, SE, SW) and load type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understand where energy is used and can aggregate by space, not only by device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2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F3.2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C + B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Facilities Technician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compare zones for the same load type, normalised per device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can spot a zone that consumes unusually more than its neighbours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B4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3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F3.3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D + C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Energy / Building Analyst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get a forecast for zone NE, which has no environmental sensors, with the limits of that forecast stated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know what can and cannot be predicted without local sensors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B4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3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4838"/>
            <w:gridSpan w:val="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2F559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FFFFFF"/>
                <w:sz w:val="18"/>
                <w:szCs w:val="18"/>
              </w:rPr>
              <w:t xml:space="preserve">F4. Understand past consumption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F4.1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C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Building Manager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see average power by hour, weekday and month for each zone and load type, split into working days, weekends and August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understand where and when energy is used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1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7CB34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F4.2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C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Energy / Building Analyst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see 2020–23 compared with 2025, with 2020 flagged as a possible COVID-affected year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abnormal periods do not mislead the interpretation or bias the forecasts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B4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1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7CB34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F4.3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C + A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Building Manager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see how holidays and August change consumption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low-use days are expected and explained instead of looking like anomalies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B4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2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4838"/>
            <w:gridSpan w:val="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2F559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FFFFFF"/>
                <w:sz w:val="18"/>
                <w:szCs w:val="18"/>
              </w:rPr>
              <w:t xml:space="preserve">F5. Explain what drives consumption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F5.1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C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Energy / Building Analyst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know whether the sensor value "Pres" represents occupancy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occupancy can be used as a driver with confidence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1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7CB34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F5.2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C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Energy / Building Analyst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see how indoor temperature, humidity, light and occupancy relate to each load type (relation matrix with correlation heatmaps per zone)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know which conditions drive each type of energy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2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F5.3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C + A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Energy / Building Analyst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see the effect of outdoor weather (temperature, degree-hours) and of delayed responses (0–6 h) on HVAC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HVAC consumption can be anticipated from the weather forecast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2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F5.4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C + D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Building Manager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see which drivers matter most for each forecast (SHAP explanations per load type)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can trust the forecast and act on the consumption drivers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3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4838"/>
            <w:gridSpan w:val="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2F559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FFFFFF"/>
                <w:sz w:val="18"/>
                <w:szCs w:val="18"/>
              </w:rPr>
              <w:t xml:space="preserve">F6. Trust: data reliability and forecast evidence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F6.1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B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Building Manager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see a map of the hours with data for every series, with coverage per year, gaps longer than 24 h and quality flags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know how far I can trust each forecast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1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7CB34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F6.2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B + A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Energy / Building Analyst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see proof that the sensor data are physically plausible (power vs energy, apparent vs active, current vs power) with a pass rate per series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forecasts rest on credible data, not assumptions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1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7CB34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F6.3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D + B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UPM / Project Sponsor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see the models tested on periods never used for training (2023 and 2025)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the reported predictive performance is honest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3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F6.4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D + B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UPM / Project Sponsor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see every forecast evaluated with MAE, RMSE, CV(RMSE) and NMBE against the ASHRAE Guideline 14 criteria (pass/fail per series)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can judge whether the predictive evidence is credible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4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F6.5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D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UPM / Project Sponsor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see a comparison of the baseline, SARIMAX and LightGBM models for each priority series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the chosen model is justified with evidence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4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F6.6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B + D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Building Manager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see forecast errors by hour, season and zone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know when the forecast is less reliable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B4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3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F6.7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B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Energy / Building Analyst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read what the models get wrong and why, including results with and without flagged data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the limits of the forecasts are stated clearly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B4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4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4838"/>
            <w:gridSpan w:val="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2F559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FFFFFF"/>
                <w:sz w:val="18"/>
                <w:szCs w:val="18"/>
              </w:rPr>
              <w:t xml:space="preserve">F7. Anomaly candidates and sensor issues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F7.1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B + D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Facilities Technician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get a list of the largest forecast errors as candidate anomalies (days, hours, zones)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can check unusual consumption or broken meters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B4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3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F7.2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B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Facilities Technician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receive a list of sensor and meter problems found (dead series, reversed clamps, counter resets, missing environmental data)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can have the faulty devices checked or fixed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B4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1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7CB34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4838"/>
            <w:gridSpan w:val="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2F559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FFFFFF"/>
                <w:sz w:val="18"/>
                <w:szCs w:val="18"/>
              </w:rPr>
              <w:t xml:space="preserve">F8. Dashboard and communication of results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F8.1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E + C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Building Manager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use a dashboard showing consumption, forecast vs actual and drivers per zone and load type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have one place to monitor and plan energy use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3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F8.2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E + C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UPM / Project Sponsor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see a 20-minute final presentation with 3–4 key visuals, rehearsed before Nov 30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"see the evidence" that our organisation has the right tools and capabilities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4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F8.3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E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UPM / Project Sponsor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get a 2-minute video or one-page summary of the results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get the message without reading the full report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B4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4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  <w:tr>
        <w:trPr>
          <w:cantSplit/>
        </w:trPr>
        <w:tc>
          <w:tcPr>
            <w:tcW w:type="dxa" w:w="14838"/>
            <w:gridSpan w:val="7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2F559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caps/>
                <w:color w:val="FFFFFF"/>
                <w:sz w:val="18"/>
                <w:szCs w:val="18"/>
              </w:rPr>
              <w:t xml:space="preserve">F9. DataPack: clean data, documentation and release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F9.1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A + B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Energy / Building Analyst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use one clean hourly dataset (hour × zone × load type) with environmental data and quality flags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can analyse any series without cleaning or joining files myself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1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7CB34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F9.2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B + E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Energy / Building Analyst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read a data dictionary with every column, unit, source sheet and cleaning rule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I understand every variable and every change made to the raw data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B4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222222"/>
                <w:sz w:val="17"/>
                <w:szCs w:val="17"/>
              </w:rPr>
              <w:t xml:space="preserve">Medium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1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7CB34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F9.3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E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UPM / Project Sponsor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find every experiment and its performance in an experiment log and a CRISP-DM report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the work can be audited with a well-established methodology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1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7CB34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F9.4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4"/>
                <w:szCs w:val="14"/>
              </w:rPr>
              <w:t xml:space="preserve">A + E</w:t>
            </w:r>
          </w:p>
        </w:tc>
        <w:tc>
          <w:tcPr>
            <w:tcW w:type="dxa" w:w="1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UPM / Project Sponsor</w:t>
            </w:r>
          </w:p>
        </w:tc>
        <w:tc>
          <w:tcPr>
            <w:tcW w:type="dxa" w:w="4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receive the frozen DataPack v1.0 (code, data, dictionary, log, report, deck, dashboard) in the Moodle dropoff area by Dec 14, 2026</w:t>
            </w:r>
          </w:p>
        </w:tc>
        <w:tc>
          <w:tcPr>
            <w:tcW w:type="dxa" w:w="39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the product can be reproduced, graded and reused after the course</w:t>
            </w:r>
          </w:p>
        </w:tc>
        <w:tc>
          <w:tcPr>
            <w:tcW w:type="dxa" w:w="12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D9363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5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Post</w:t>
            </w:r>
          </w:p>
        </w:tc>
        <w:tc>
          <w:tcPr>
            <w:tcW w:type="dxa" w:w="158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5BC0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entury Gothic" w:cs="Century Gothic" w:eastAsia="Century Gothic" w:hAnsi="Century Gothic"/>
                <w:color w:val="FFFFFF"/>
                <w:sz w:val="17"/>
                <w:szCs w:val="17"/>
              </w:rPr>
              <w:t xml:space="preserve">Not Started</w:t>
            </w:r>
          </w:p>
        </w:tc>
      </w:tr>
    </w:tbl>
    <w:p>
      <w:pPr>
        <w:keepNext/>
        <w:spacing w:after="100" w:before="240"/>
      </w:pPr>
      <w:r>
        <w:rPr>
          <w:rFonts w:ascii="Century Gothic" w:cs="Century Gothic" w:eastAsia="Century Gothic" w:hAnsi="Century Gothic"/>
          <w:caps/>
          <w:color w:val="2F5597"/>
          <w:sz w:val="26"/>
          <w:szCs w:val="26"/>
        </w:rPr>
        <w:t xml:space="preserve">5. Delivery plan: how each feature is built (Week 5 roles and tasks)</w:t>
      </w:r>
    </w:p>
    <w:p>
      <w:pPr>
        <w:spacing w:after="60" w:line="276"/>
      </w:pPr>
      <w:r>
        <w:rPr>
          <w:rFonts w:ascii="Century Gothic" w:cs="Century Gothic" w:eastAsia="Century Gothic" w:hAnsi="Century Gothic"/>
          <w:color w:val="444444"/>
          <w:sz w:val="17"/>
          <w:szCs w:val="17"/>
        </w:rPr>
        <w:t xml:space="preserve">Subteams: A Data Engineering (P1 lead, P2, P3) · B Data Quality &amp; Validation (P4 lead, P5, P6) · C Exploration &amp; Environment (P7 lead, P8) · D Modelling &amp; Forecasting (P9 lead, P10) · E Coordination &amp; Communication (P11 coordinator, P12). Pairs: A+B on cleaning rules (B decides, A implements); C+D on model features; E in every weekly check-in.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2400"/>
        <w:gridCol w:w="4300"/>
        <w:gridCol w:w="3138"/>
      </w:tblGrid>
      <w:tr>
        <w:trPr>
          <w:tblHeader/>
          <w:trHeight w:val="520" w:hRule="atLeast"/>
        </w:trPr>
        <w:tc>
          <w:tcPr>
            <w:tcW w:type="dxa" w:w="27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Feature (epic)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Roles</w:t>
            </w:r>
          </w:p>
        </w:tc>
        <w:tc>
          <w:tcPr>
            <w:tcW w:type="dxa" w:w="2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Week 5 tasks that build it</w:t>
            </w:r>
          </w:p>
        </w:tc>
        <w:tc>
          <w:tcPr>
            <w:tcW w:type="dxa" w:w="4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How we accomplish it</w:t>
            </w:r>
          </w:p>
        </w:tc>
        <w:tc>
          <w:tcPr>
            <w:tcW w:type="dxa" w:w="31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Definition of done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F1 Forecast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D leads (P9, P10) with A (features) and C (variables)</w:t>
            </w:r>
          </w:p>
        </w:tc>
        <w:tc>
          <w:tcPr>
            <w:tcW w:type="dxa" w:w="2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D1–D3 (S1); baselines, SARIMAX, LightGBM (S2–S3); feature variants from A</w:t>
            </w:r>
          </w:p>
        </w:tc>
        <w:tc>
          <w:tcPr>
            <w:tcW w:type="dxa" w:w="4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Chronological split (no shuffling); seasonal naive and linear-regression baselines; SARIMAX with exogenous drivers; LightGBM tuned with TimeSeriesSplit; target energy_wh, horizon 24 h</w:t>
            </w:r>
          </w:p>
        </w:tc>
        <w:tc>
          <w:tcPr>
            <w:tcW w:type="dxa" w:w="31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Forecast reproducible from one notebook, logged in the experiment log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F2 Energy types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E coordinates (P11) with D and B; teacher confirms</w:t>
            </w:r>
          </w:p>
        </w:tc>
        <w:tc>
          <w:tcPr>
            <w:tcW w:type="dxa" w:w="2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E2 (CRISP-DM phase 1); D3 model plan; open questions</w:t>
            </w:r>
          </w:p>
        </w:tc>
        <w:tc>
          <w:tcPr>
            <w:tcW w:type="dxa" w:w="4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Decision table (section 3) updated with the profiling results and the teacher’s answers</w:t>
            </w:r>
          </w:p>
        </w:tc>
        <w:tc>
          <w:tcPr>
            <w:tcW w:type="dxa" w:w="31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Table approved and referenced in the CRISP-DM report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F3 Spatial context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A (P1–P3) with C</w:t>
            </w:r>
          </w:p>
        </w:tc>
        <w:tc>
          <w:tcPr>
            <w:tcW w:type="dxa" w:w="2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A1, A2, A5; C1</w:t>
            </w:r>
          </w:p>
        </w:tc>
        <w:tc>
          <w:tcPr>
            <w:tcW w:type="dxa" w:w="4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Zone code = floor + orientation (e.g. 1NE); one long table keyed by timestamp, zone and load type; environment stored once per zone</w:t>
            </w:r>
          </w:p>
        </w:tc>
        <w:tc>
          <w:tcPr>
            <w:tcW w:type="dxa" w:w="31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Any series traceable from plan to zone to forecast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F4 Past consumption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C leads (P7, P8)</w:t>
            </w:r>
          </w:p>
        </w:tc>
        <w:tc>
          <w:tcPr>
            <w:tcW w:type="dxa" w:w="2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C1, C4; hypotheses H11, H12</w:t>
            </w:r>
          </w:p>
        </w:tc>
        <w:tc>
          <w:tcPr>
            <w:tcW w:type="dxa" w:w="4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Profiles by hour, weekday, month; split working days, weekends, August; 2020 vs 2021–22 vs 2025</w:t>
            </w:r>
          </w:p>
        </w:tc>
        <w:tc>
          <w:tcPr>
            <w:tcW w:type="dxa" w:w="31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Plots labelled and interpreted in the EDA notebook (≥ 10 plots)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F5 Drivers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C leads with D</w:t>
            </w:r>
          </w:p>
        </w:tc>
        <w:tc>
          <w:tcPr>
            <w:tcW w:type="dxa" w:w="2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C2, C3 (S1); relation matrix and SHAP (S2–S3); hypothesis H1</w:t>
            </w:r>
          </w:p>
        </w:tc>
        <w:tc>
          <w:tcPr>
            <w:tcW w:type="dxa" w:w="4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Scatter + LOWESS, Pearson and Spearman, cross-correlation 0–6 h, partial correlation controlling for hour; SHAP on the best model</w:t>
            </w:r>
          </w:p>
        </w:tc>
        <w:tc>
          <w:tcPr>
            <w:tcW w:type="dxa" w:w="31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One heatmap per zone plus written interpretation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F6 Trust and evidence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B leads (P4–P6) with D</w:t>
            </w:r>
          </w:p>
        </w:tc>
        <w:tc>
          <w:tcPr>
            <w:tcW w:type="dxa" w:w="2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B1–B5 (S1); validation and residuals (S2–S4)</w:t>
            </w:r>
          </w:p>
        </w:tc>
        <w:tc>
          <w:tcPr>
            <w:tcW w:type="dxa" w:w="4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Missing-value heatmap, reset and negative-power rules, outlier flags (flag, never delete), consistency checks; train 2020-06 to 2022-06, validate 2022-H2, test 2023 and 2025; ASHRAE 14</w:t>
            </w:r>
          </w:p>
        </w:tc>
        <w:tc>
          <w:tcPr>
            <w:tcW w:type="dxa" w:w="31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Pass rate per series and pass/fail table in the final comparison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F7 Anomalies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B with D (P4–P6, P9–P10)</w:t>
            </w:r>
          </w:p>
        </w:tc>
        <w:tc>
          <w:tcPr>
            <w:tcW w:type="dxa" w:w="2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B residual analysis (S3); quality findings from S1</w:t>
            </w:r>
          </w:p>
        </w:tc>
        <w:tc>
          <w:tcPr>
            <w:tcW w:type="dxa" w:w="4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Rank hours and days by absolute forecast error; cross-check against holidays and sensor flags</w:t>
            </w:r>
          </w:p>
        </w:tc>
        <w:tc>
          <w:tcPr>
            <w:tcW w:type="dxa" w:w="31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Candidate list delivered with explanation of each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F8 Dashboard and story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E leads (P11, P12) with C</w:t>
            </w:r>
          </w:p>
        </w:tc>
        <w:tc>
          <w:tcPr>
            <w:tcW w:type="dxa" w:w="2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E4 weekly slides; dashboard prototype (S3); final deck, video (S4)</w:t>
            </w:r>
          </w:p>
        </w:tc>
        <w:tc>
          <w:tcPr>
            <w:tcW w:type="dxa" w:w="4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Power BI or Streamlit; 3–4 key visuals from C; speaker split and rehearsal Nov 26–28</w:t>
            </w:r>
          </w:p>
        </w:tc>
        <w:tc>
          <w:tcPr>
            <w:tcW w:type="dxa" w:w="31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Presentation on Nov 30 and summary delivered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F9 DataPack release</w:t>
            </w:r>
          </w:p>
        </w:tc>
        <w:tc>
          <w:tcPr>
            <w:tcW w:type="dxa" w:w="2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A with E</w:t>
            </w:r>
          </w:p>
        </w:tc>
        <w:tc>
          <w:tcPr>
            <w:tcW w:type="dxa" w:w="24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A5, E1, E3 (S1); freeze v1.0 (S4); Moodle (Post)</w:t>
            </w:r>
          </w:p>
        </w:tc>
        <w:tc>
          <w:tcPr>
            <w:tcW w:type="dxa" w:w="4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Raw files never edited; every change is a Python step; GitHub repo and shared Drive with identical folder structure; data dictionary, experiment log, CRISP-DM</w:t>
            </w:r>
          </w:p>
        </w:tc>
        <w:tc>
          <w:tcPr>
            <w:tcW w:type="dxa" w:w="31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sz w:val="17"/>
                <w:szCs w:val="17"/>
              </w:rPr>
              <w:t xml:space="preserve">Everything in the Moodle dropoff area by Dec 14, 2026</w:t>
            </w:r>
          </w:p>
        </w:tc>
      </w:tr>
    </w:tbl>
    <w:p>
      <w:pPr>
        <w:keepNext/>
        <w:spacing w:after="100" w:before="240"/>
      </w:pPr>
      <w:r>
        <w:rPr>
          <w:rFonts w:ascii="Century Gothic" w:cs="Century Gothic" w:eastAsia="Century Gothic" w:hAnsi="Century Gothic"/>
          <w:caps/>
          <w:color w:val="2F5597"/>
          <w:sz w:val="26"/>
          <w:szCs w:val="26"/>
        </w:rPr>
        <w:t xml:space="preserve">6. Release plan by sprint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8338"/>
      </w:tblGrid>
      <w:tr>
        <w:trPr>
          <w:tblHeader/>
          <w:trHeight w:val="520" w:hRule="atLeast"/>
        </w:trPr>
        <w:tc>
          <w:tcPr>
            <w:tcW w:type="dxa" w:w="22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Sprint</w:t>
            </w:r>
          </w:p>
        </w:tc>
        <w:tc>
          <w:tcPr>
            <w:tcW w:type="dxa" w:w="4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Increment</w:t>
            </w:r>
          </w:p>
        </w:tc>
        <w:tc>
          <w:tcPr>
            <w:tcW w:type="dxa" w:w="83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shd w:fill="B4C7E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aps/>
                <w:color w:val="2F5597"/>
                <w:sz w:val="19"/>
                <w:szCs w:val="19"/>
              </w:rPr>
              <w:t xml:space="preserve">Delivered value and items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Sprint 1 · Oct 1–14</w:t>
            </w:r>
          </w:p>
        </w:tc>
        <w:tc>
          <w:tcPr>
            <w:tcW w:type="dxa" w:w="4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Trusted data and first understanding</w:t>
            </w:r>
          </w:p>
        </w:tc>
        <w:tc>
          <w:tcPr>
            <w:tcW w:type="dxa" w:w="83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Clean hourly dataset with flags, quality evidence, profiles, occupancy test, energy-type decision, first baseline forecast (NW HVAC), documentation started.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5"/>
                <w:szCs w:val="15"/>
              </w:rPr>
              <w:t xml:space="preserve">Items: F1.1, F2.1, F4.1, F4.2, F5.1, F6.1, F6.2, F7.2, F9.1, F9.2, F9.3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Sprint 2 · Oct 15–28</w:t>
            </w:r>
          </w:p>
        </w:tc>
        <w:tc>
          <w:tcPr>
            <w:tcW w:type="dxa" w:w="4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Context and drivers</w:t>
            </w:r>
          </w:p>
        </w:tc>
        <w:tc>
          <w:tcPr>
            <w:tcW w:type="dxa" w:w="83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Spatial organisation, weather and holiday drivers, full relation matrix, holiday and August effects.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5"/>
                <w:szCs w:val="15"/>
              </w:rPr>
              <w:t xml:space="preserve">Items: F3.1, F4.3, F5.2, F5.3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Sprint 3 · Oct 29–Nov 11</w:t>
            </w:r>
          </w:p>
        </w:tc>
        <w:tc>
          <w:tcPr>
            <w:tcW w:type="dxa" w:w="4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Forecasts and explanations</w:t>
            </w:r>
          </w:p>
        </w:tc>
        <w:tc>
          <w:tcPr>
            <w:tcW w:type="dxa" w:w="83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Day-ahead forecasts for all priority series, unseen-data tests, SHAP, residuals, anomaly candidates, dashboard prototype.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5"/>
                <w:szCs w:val="15"/>
              </w:rPr>
              <w:t xml:space="preserve">Items: F1.2, F1.3, F2.2, F3.2, F3.3, F5.4, F6.3, F6.6, F7.1, F8.1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Sprint 4 · Nov 12–25</w:t>
            </w:r>
          </w:p>
        </w:tc>
        <w:tc>
          <w:tcPr>
            <w:tcW w:type="dxa" w:w="4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Evidence and story</w:t>
            </w:r>
          </w:p>
        </w:tc>
        <w:tc>
          <w:tcPr>
            <w:tcW w:type="dxa" w:w="83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ASHRAE 14 evaluation, model comparison, robustness, multi-period forecast, final deck, video or one-page summary.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5"/>
                <w:szCs w:val="15"/>
              </w:rPr>
              <w:t xml:space="preserve">Items: F1.4, F6.4, F6.5, F6.7, F8.2, F8.3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b/>
                <w:bCs/>
                <w:sz w:val="17"/>
                <w:szCs w:val="17"/>
              </w:rPr>
              <w:t xml:space="preserve">Post · Dec 1–14</w:t>
            </w:r>
          </w:p>
        </w:tc>
        <w:tc>
          <w:tcPr>
            <w:tcW w:type="dxa" w:w="4300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Release</w:t>
            </w:r>
          </w:p>
        </w:tc>
        <w:tc>
          <w:tcPr>
            <w:tcW w:type="dxa" w:w="8338"/>
            <w:tcBorders>
              <w:top w:val="single" w:color="9FB3CF" w:sz="4"/>
              <w:left w:val="single" w:color="9FB3CF" w:sz="4"/>
              <w:bottom w:val="single" w:color="9FB3CF" w:sz="4"/>
              <w:right w:val="single" w:color="9FB3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sz w:val="17"/>
                <w:szCs w:val="17"/>
              </w:rPr>
              <w:t xml:space="preserve">Feedback from the Nov 30 presentation processed; DataPack v1.0 in Moodle by Dec 14.</w:t>
            </w:r>
          </w:p>
          <w:p>
            <w:pPr>
              <w:spacing w:after="0" w:line="252"/>
            </w:pPr>
            <w:r>
              <w:rPr>
                <w:rFonts w:ascii="Century Gothic" w:cs="Century Gothic" w:eastAsia="Century Gothic" w:hAnsi="Century Gothic"/>
                <w:color w:val="6B7A8C"/>
                <w:sz w:val="15"/>
                <w:szCs w:val="15"/>
              </w:rPr>
              <w:t xml:space="preserve">Items: F9.4</w:t>
            </w:r>
          </w:p>
        </w:tc>
      </w:tr>
    </w:tbl>
    <w:p>
      <w:pPr>
        <w:keepNext/>
        <w:spacing w:after="100" w:before="240"/>
      </w:pPr>
      <w:r>
        <w:rPr>
          <w:rFonts w:ascii="Century Gothic" w:cs="Century Gothic" w:eastAsia="Century Gothic" w:hAnsi="Century Gothic"/>
          <w:caps/>
          <w:color w:val="2F5597"/>
          <w:sz w:val="26"/>
          <w:szCs w:val="26"/>
        </w:rPr>
        <w:t xml:space="preserve">7. Open decisions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entury Gothic" w:cs="Century Gothic" w:eastAsia="Century Gothic" w:hAnsi="Century Gothic"/>
          <w:color w:val="444444"/>
          <w:sz w:val="17"/>
          <w:szCs w:val="17"/>
        </w:rPr>
        <w:t xml:space="preserve">Should the forecast target the floor total, each zone, or each load type? (Backlog assumes all three, with priority on zone × load type.)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entury Gothic" w:cs="Century Gothic" w:eastAsia="Century Gothic" w:hAnsi="Century Gothic"/>
          <w:color w:val="444444"/>
          <w:sz w:val="17"/>
          <w:szCs w:val="17"/>
        </w:rPr>
        <w:t xml:space="preserve">Confirm the column meanings: Er behaves as active energy (Wh) and Ea as apparent energy, which differs from the slide labels.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entury Gothic" w:cs="Century Gothic" w:eastAsia="Century Gothic" w:hAnsi="Century Gothic"/>
          <w:color w:val="444444"/>
          <w:sz w:val="17"/>
          <w:szCs w:val="17"/>
        </w:rPr>
        <w:t xml:space="preserve">Is the 902-day gap (Mar 2023 – Aug 2025) expected, or is more data available? It limits the training and test periods.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entury Gothic" w:cs="Century Gothic" w:eastAsia="Century Gothic" w:hAnsi="Century Gothic"/>
          <w:color w:val="444444"/>
          <w:sz w:val="17"/>
          <w:szCs w:val="17"/>
        </w:rPr>
        <w:t xml:space="preserve">Are exports for floors 2 and 3 and the BMP02 system-level meters available, to compare zone totals with the building total?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entury Gothic" w:cs="Century Gothic" w:eastAsia="Century Gothic" w:hAnsi="Century Gothic"/>
          <w:color w:val="444444"/>
          <w:sz w:val="17"/>
          <w:szCs w:val="17"/>
        </w:rPr>
        <w:t xml:space="preserve">Multi-period forecasts (F1.4) are an extension of the Week 5 plan (day-ahead only); the team confirms whether they stay in scope after Sprint 3.</w:t>
      </w:r>
    </w:p>
    <w:sectPr>
      <w:footerReference w:type="default" r:id="rId7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entury Gothic" w:cs="Century Gothic" w:eastAsia="Century Gothic" w:hAnsi="Century Gothic"/>
        <w:color w:val="8A97A6"/>
        <w:sz w:val="14"/>
        <w:szCs w:val="14"/>
      </w:rPr>
      <w:t xml:space="preserve">Product Backlog Report · TBDA DataPack · page </w:t>
    </w:r>
    <w:r>
      <w:rPr>
        <w:rFonts w:ascii="Century Gothic" w:cs="Century Gothic" w:eastAsia="Century Gothic" w:hAnsi="Century Gothic"/>
        <w:color w:val="8A97A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2026-10-08T13:21:47.310Z</dcterms:created>
  <dcterms:modified xsi:type="dcterms:W3CDTF">2026-10-08T13:21:47.310Z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