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Aptos Display" w:hAnsi="Aptos Display"/>
          <w:b/>
          <w:color w:val="17365D"/>
          <w:sz w:val="52"/>
        </w:rPr>
        <w:t>Documentation Register &amp; Governance</w:t>
      </w:r>
    </w:p>
    <w:p>
      <w:pPr>
        <w:jc w:val="center"/>
      </w:pPr>
      <w:r>
        <w:rPr>
          <w:rFonts w:ascii="Aptos" w:hAnsi="Aptos"/>
          <w:color w:val="2F5597"/>
          <w:sz w:val="26"/>
        </w:rPr>
        <w:t>Self-Hosted Campaign Management &amp; Bulk Email Software</w:t>
      </w:r>
    </w:p>
    <w:p>
      <w:pPr>
        <w:spacing w:before="560"/>
        <w:jc w:val="center"/>
      </w:pPr>
      <w:r>
        <w:rPr>
          <w:rFonts w:ascii="Aptos" w:hAnsi="Aptos"/>
          <w:color w:val="666666"/>
          <w:sz w:val="20"/>
        </w:rPr>
        <w:t>Document code: DOC-00</w:t>
        <w:br/>
        <w:t>Version: 0.3</w:t>
        <w:br/>
        <w:t>Date: 20 September 2026</w:t>
      </w:r>
    </w:p>
    <w:p>
      <w:pPr>
        <w:spacing w:before="500"/>
        <w:jc w:val="center"/>
      </w:pPr>
      <w:r>
        <w:rPr>
          <w:rFonts w:ascii="Aptos" w:hAnsi="Aptos"/>
          <w:i/>
          <w:color w:val="666666"/>
          <w:sz w:val="18"/>
        </w:rPr>
        <w:t>Working title - replace with final product/client name during branding.</w:t>
      </w:r>
    </w:p>
    <w:p>
      <w:r>
        <w:br w:type="page"/>
      </w:r>
    </w:p>
    <w:p>
      <w:pPr>
        <w:pStyle w:val="Heading1"/>
      </w:pPr>
      <w:r>
        <w:t>1. Purpose of this documentation pack</w:t>
      </w:r>
    </w:p>
    <w:p>
      <w:r>
        <w:t>This pack defines the initial product, delivery, technical and handover baseline for a self-hosted marketing email platform. It is designed for a build-deploy-handover engagement where the client ultimately controls and operates the production environment.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D9E2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>Delivery model</w:t>
              <w:br/>
            </w:r>
            <w:r>
              <w:rPr>
                <w:rFonts w:ascii="Aptos" w:hAnsi="Aptos"/>
                <w:sz w:val="19"/>
              </w:rPr>
              <w:t>The supplier builds and deploys the software into client-controlled infrastructure, performs agreed testing and handover, then the client assumes operational control. Ongoing support is optional and separately scoped.</w:t>
            </w:r>
          </w:p>
        </w:tc>
      </w:tr>
    </w:tbl>
    <w:p>
      <w:pPr>
        <w:spacing w:after="0"/>
      </w:pPr>
    </w:p>
    <w:p>
      <w:pPr>
        <w:pStyle w:val="Heading1"/>
      </w:pPr>
      <w:r>
        <w:t>2. Document register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3312"/>
        <w:gridCol w:w="5328"/>
      </w:tblGrid>
      <w:tr>
        <w:trPr>
          <w:tblHeader w:val="true"/>
          <w:cantSplit/>
        </w:trPr>
        <w:tc>
          <w:tcPr>
            <w:tcW w:type="dxa" w:w="336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Code</w:t>
            </w:r>
          </w:p>
        </w:tc>
        <w:tc>
          <w:tcPr>
            <w:tcW w:type="dxa" w:w="336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36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DOC-00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Documentation Register &amp; Governance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Index, ownership, assumptions and change control.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DOC-01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Project Overview &amp; Product Brief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Problem statement, users, goals, product boundaries and success criteria.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DOC-02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Scope of Work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Deliverables, in-scope/out-of-scope work, responsibilities and acceptance.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DOC-03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Product Roadmap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Phased implementation plan, milestones, dependencies and release gates.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DOC-04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Wireframes &amp; User Flows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Low-fidelity screens and critical end-to-end workflows.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DOC-05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Technical Architecture &amp; Requirements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System design, stack, data model, queues, security and non-functional requirements.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DOC-06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Deployment, Handover &amp; Acceptance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Client-owned deployment, credential transfer, runbooks, training and sign-off.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DOC-07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Risk, Compliance &amp; Abuse Controls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Product safeguards, operational risk assumptions and client responsibilities.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DOC-08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Backlog &amp; Acceptance Criteria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Epics, prioritized MVP stories and testable acceptance criteria.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DOC-09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Project Cost Estimate &amp; Budget Model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Build-cost scenarios, implementation effort, client recurring costs and payment/cost responsibility assumptions.</w:t>
            </w:r>
          </w:p>
        </w:tc>
      </w:tr>
    </w:tbl>
    <w:p>
      <w:pPr>
        <w:pStyle w:val="Heading1"/>
        <w:pageBreakBefore/>
      </w:pPr>
      <w:r>
        <w:t>3. Working assumptions</w:t>
      </w:r>
    </w:p>
    <w:p>
      <w:pPr>
        <w:pStyle w:val="ListBullet"/>
        <w:spacing w:after="40"/>
      </w:pPr>
      <w:r>
        <w:rPr>
          <w:rFonts w:ascii="Aptos" w:hAnsi="Aptos"/>
        </w:rPr>
        <w:t>Product name is not final; all documents use “Email Marketing Platform” as a working title.</w:t>
      </w:r>
    </w:p>
    <w:p>
      <w:pPr>
        <w:pStyle w:val="ListBullet"/>
        <w:spacing w:after="40"/>
      </w:pPr>
      <w:r>
        <w:t>The initial production operating target is 2,000 permission-based marketing emails per day using client-controlled outbound MTA infrastructure. The application should remain capable of queueing larger campaigns, with any increase in direct-to-MX volume gated by IP/domain reputation, receiver response, complaint/bounce rates and infrastructure validation.</w:t>
      </w:r>
    </w:p>
    <w:p>
      <w:pPr>
        <w:pStyle w:val="ListBullet"/>
        <w:spacing w:after="40"/>
      </w:pPr>
      <w:r>
        <w:t>The software will initially operate a client-controlled outbound mail transfer service (MTA) and deliver directly to recipient MX servers. A third-party SMTP relay remains an optional contingency adapter, not a production dependency.</w:t>
      </w:r>
    </w:p>
    <w:p>
      <w:pPr>
        <w:pStyle w:val="ListBullet"/>
        <w:spacing w:after="40"/>
      </w:pPr>
      <w:r>
        <w:t>The client owns or controls the production cloud/server account, static sending IP address, domain/DNS, MTA configuration, database and recipient data.</w:t>
      </w:r>
    </w:p>
    <w:p>
      <w:pPr>
        <w:pStyle w:val="ListBullet"/>
        <w:spacing w:after="40"/>
      </w:pPr>
      <w:r>
        <w:rPr>
          <w:rFonts w:ascii="Aptos" w:hAnsi="Aptos"/>
        </w:rPr>
        <w:t>The supplier may retain source code ownership or transfer it depending on the commercial agreement; this pack does not decide IP ownership.</w:t>
      </w:r>
    </w:p>
    <w:p>
      <w:pPr>
        <w:pStyle w:val="ListBullet"/>
        <w:spacing w:after="40"/>
      </w:pPr>
      <w:r>
        <w:rPr>
          <w:rFonts w:ascii="Aptos" w:hAnsi="Aptos"/>
        </w:rPr>
        <w:t>Applicable legal obligations vary by jurisdiction and must be reviewed by qualified counsel before commercial deployment.</w:t>
      </w:r>
    </w:p>
    <w:p>
      <w:pPr>
        <w:pStyle w:val="Heading1"/>
      </w:pPr>
      <w:r>
        <w:t>4. Change control</w:t>
      </w:r>
    </w:p>
    <w:p>
      <w:pPr>
        <w:pStyle w:val="ListNumber"/>
      </w:pPr>
      <w:r>
        <w:rPr>
          <w:rFonts w:ascii="Aptos" w:hAnsi="Aptos"/>
        </w:rPr>
        <w:t>Proposed change is recorded with reason, impact and requested date.</w:t>
      </w:r>
    </w:p>
    <w:p>
      <w:pPr>
        <w:pStyle w:val="ListNumber"/>
      </w:pPr>
      <w:r>
        <w:rPr>
          <w:rFonts w:ascii="Aptos" w:hAnsi="Aptos"/>
        </w:rPr>
        <w:t>Product/technical impact is assessed against scope, schedule, budget and architecture.</w:t>
      </w:r>
    </w:p>
    <w:p>
      <w:pPr>
        <w:pStyle w:val="ListNumber"/>
      </w:pPr>
      <w:r>
        <w:rPr>
          <w:rFonts w:ascii="Aptos" w:hAnsi="Aptos"/>
        </w:rPr>
        <w:t>Both parties approve changes that affect contractual deliverables.</w:t>
      </w:r>
    </w:p>
    <w:p>
      <w:pPr>
        <w:pStyle w:val="ListNumber"/>
      </w:pPr>
      <w:r>
        <w:rPr>
          <w:rFonts w:ascii="Aptos" w:hAnsi="Aptos"/>
        </w:rPr>
        <w:t>Document version and change log are updated before implementation.</w:t>
      </w:r>
    </w:p>
    <w:p>
      <w:pPr>
        <w:pStyle w:val="Heading1"/>
      </w:pPr>
      <w:r>
        <w:t>5. Suggested folder structure</w:t>
      </w:r>
    </w:p>
    <w:p>
      <w:pPr>
        <w:pStyle w:val="Heading2"/>
      </w:pPr>
      <w:r>
        <w:t>Project folder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Email_Marketing_Platform_Project/</w:t>
              <w:br/>
              <w:t>├── 00_Governance/</w:t>
              <w:br/>
              <w:t>├── 01_Product/</w:t>
              <w:br/>
              <w:t>├── 02_UX_Wireframes/</w:t>
              <w:br/>
              <w:t>├── 03_Technical/</w:t>
              <w:br/>
              <w:t>├── 04_Deployment_Handover/</w:t>
              <w:br/>
              <w:t>├── 05_Risk_Compliance/</w:t>
              <w:br/>
              <w:t>├── 06_Backlog_Acceptance/</w:t>
              <w:br/>
              <w:t>└── 07_Budget_Commercial/</w:t>
            </w:r>
          </w:p>
        </w:tc>
      </w:tr>
    </w:tbl>
    <w:p>
      <w:pPr>
        <w:pStyle w:val="Heading1"/>
      </w:pPr>
      <w:r>
        <w:t>6. Commercial estimate reference</w:t>
      </w:r>
    </w:p>
    <w:p>
      <w:r>
        <w:t>DOC-09 contains the current planning budget. Its figures are estimates only until replaced by an approved commercial proposal and current vendor quotations.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360"/>
        </w:tcPr>
        <w:p>
          <w:pPr>
            <w:jc w:val="left"/>
          </w:pPr>
          <w:r>
            <w:rPr>
              <w:rFonts w:ascii="Aptos" w:hAnsi="Aptos"/>
              <w:color w:val="666666"/>
              <w:sz w:val="16"/>
            </w:rPr>
            <w:t>Project Documentation</w:t>
          </w:r>
        </w:p>
      </w:tc>
      <w:tc>
        <w:tcPr>
          <w:tcW w:type="dxa" w:w="3360"/>
        </w:tcPr>
        <w:p>
          <w:pPr>
            <w:jc w:val="center"/>
          </w:pPr>
          <w:r>
            <w:rPr>
              <w:rFonts w:ascii="Aptos" w:hAnsi="Aptos"/>
              <w:color w:val="666666"/>
              <w:sz w:val="16"/>
            </w:rPr>
            <w:t>v0.3</w:t>
          </w:r>
        </w:p>
      </w:tc>
      <w:tc>
        <w:tcPr>
          <w:tcW w:type="dxa" w:w="3360"/>
        </w:tcPr>
        <w:p>
          <w:pPr>
            <w:jc w:val="right"/>
          </w:pPr>
          <w:r>
            <w:rPr>
              <w:rFonts w:ascii="Aptos" w:hAnsi="Aptos"/>
              <w:color w:val="666666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</w:tcPr>
        <w:p>
          <w:pPr>
            <w:jc w:val="left"/>
          </w:pPr>
          <w:r>
            <w:rPr>
              <w:rFonts w:ascii="Aptos" w:hAnsi="Aptos"/>
              <w:b/>
              <w:color w:val="17365D"/>
              <w:sz w:val="17"/>
            </w:rPr>
            <w:t>Email Marketing Platform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Aptos" w:hAnsi="Aptos"/>
              <w:color w:val="666666"/>
              <w:sz w:val="16"/>
            </w:rPr>
            <w:t>DOC-00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