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7365D"/>
          <w:sz w:val="52"/>
        </w:rPr>
        <w:t>Project Overview &amp; Product Brief</w:t>
      </w:r>
    </w:p>
    <w:p>
      <w:pPr>
        <w:jc w:val="center"/>
      </w:pPr>
      <w:r>
        <w:rPr>
          <w:rFonts w:ascii="Aptos" w:hAnsi="Aptos"/>
          <w:color w:val="2F5597"/>
          <w:sz w:val="26"/>
        </w:rPr>
        <w:t>Self-Hosted Campaign Management &amp; Bulk Email Software</w:t>
      </w:r>
    </w:p>
    <w:p>
      <w:pPr>
        <w:spacing w:before="560"/>
        <w:jc w:val="center"/>
      </w:pPr>
      <w:r>
        <w:rPr>
          <w:rFonts w:ascii="Aptos" w:hAnsi="Aptos"/>
          <w:color w:val="666666"/>
          <w:sz w:val="20"/>
        </w:rPr>
        <w:t>Document code: DOC-01</w:t>
        <w:br/>
        <w:t>Version: 0.3</w:t>
        <w:br/>
        <w:t>Date: 20 September 2026</w:t>
      </w:r>
    </w:p>
    <w:p>
      <w:pPr>
        <w:spacing w:before="500"/>
        <w:jc w:val="center"/>
      </w:pPr>
      <w:r>
        <w:rPr>
          <w:rFonts w:ascii="Aptos" w:hAnsi="Aptos"/>
          <w:i/>
          <w:color w:val="666666"/>
          <w:sz w:val="18"/>
        </w:rPr>
        <w:t>Working title - replace with final product/client name during branding.</w:t>
      </w:r>
    </w:p>
    <w:p>
      <w:r>
        <w:br w:type="page"/>
      </w:r>
    </w:p>
    <w:tbl>
      <w:tblPr>
        <w:tblStyle w:val="TableGrid"/>
        <w:tblW w:type="auto" w:w="0"/>
        <w:jc w:val="left"/>
        <w:tblLook w:firstColumn="1" w:firstRow="1" w:lastColumn="0" w:lastRow="0" w:noHBand="0" w:noVBand="1" w:val="04A0"/>
      </w:tblPr>
      <w:tblGrid>
        <w:gridCol w:w="2592"/>
        <w:gridCol w:w="7488"/>
      </w:tblGrid>
      <w:tr>
        <w:tc>
          <w:tcPr>
            <w:tcW w:type="dxa" w:w="5040"/>
            <w:shd w:fill="17365D"/>
          </w:tcPr>
          <w:p>
            <w:r>
              <w:rPr>
                <w:rFonts w:ascii="Aptos" w:hAnsi="Aptos"/>
                <w:b/>
                <w:color w:val="FFFFFF"/>
                <w:sz w:val="18"/>
              </w:rPr>
              <w:t>Item</w:t>
            </w:r>
          </w:p>
        </w:tc>
        <w:tc>
          <w:tcPr>
            <w:tcW w:type="dxa" w:w="5040"/>
            <w:shd w:fill="17365D"/>
          </w:tcPr>
          <w:p>
            <w:r>
              <w:rPr>
                <w:rFonts w:ascii="Aptos" w:hAnsi="Aptos"/>
                <w:b/>
                <w:color w:val="FFFFFF"/>
                <w:sz w:val="18"/>
              </w:rPr>
              <w:t>Detail</w:t>
            </w:r>
          </w:p>
        </w:tc>
      </w:tr>
      <w:tr>
        <w:tc>
          <w:tcPr>
            <w:tcW w:type="dxa" w:w="2592"/>
            <w:tcMar>
              <w:top w:w="80" w:type="dxa"/>
              <w:start w:w="100" w:type="dxa"/>
              <w:bottom w:w="80" w:type="dxa"/>
              <w:end w:w="100" w:type="dxa"/>
            </w:tcMar>
          </w:tcPr>
          <w:p>
            <w:r>
              <w:rPr>
                <w:rFonts w:ascii="Aptos" w:hAnsi="Aptos"/>
                <w:b/>
                <w:color w:val="17365D"/>
                <w:sz w:val="18"/>
              </w:rPr>
              <w:t>Product</w:t>
            </w:r>
          </w:p>
        </w:tc>
        <w:tc>
          <w:tcPr>
            <w:tcW w:type="dxa" w:w="7488"/>
            <w:tcMar>
              <w:top w:w="80" w:type="dxa"/>
              <w:start w:w="100" w:type="dxa"/>
              <w:bottom w:w="80" w:type="dxa"/>
              <w:end w:w="100" w:type="dxa"/>
            </w:tcMar>
          </w:tcPr>
          <w:p>
            <w:r>
              <w:rPr>
                <w:rFonts w:ascii="Aptos" w:hAnsi="Aptos"/>
                <w:sz w:val="18"/>
              </w:rPr>
              <w:t>Email Marketing Platform</w:t>
            </w:r>
          </w:p>
        </w:tc>
      </w:tr>
      <w:tr>
        <w:tc>
          <w:tcPr>
            <w:tcW w:type="dxa" w:w="2592"/>
            <w:tcMar>
              <w:top w:w="80" w:type="dxa"/>
              <w:start w:w="100" w:type="dxa"/>
              <w:bottom w:w="80" w:type="dxa"/>
              <w:end w:w="100" w:type="dxa"/>
            </w:tcMar>
          </w:tcPr>
          <w:p>
            <w:r>
              <w:rPr>
                <w:rFonts w:ascii="Aptos" w:hAnsi="Aptos"/>
                <w:b/>
                <w:color w:val="17365D"/>
                <w:sz w:val="18"/>
              </w:rPr>
              <w:t>Delivery model</w:t>
            </w:r>
          </w:p>
        </w:tc>
        <w:tc>
          <w:tcPr>
            <w:tcW w:type="dxa" w:w="7488"/>
            <w:tcMar>
              <w:top w:w="80" w:type="dxa"/>
              <w:start w:w="100" w:type="dxa"/>
              <w:bottom w:w="80" w:type="dxa"/>
              <w:end w:w="100" w:type="dxa"/>
            </w:tcMar>
          </w:tcPr>
          <w:p>
            <w:r>
              <w:rPr>
                <w:rFonts w:ascii="Aptos" w:hAnsi="Aptos"/>
                <w:sz w:val="18"/>
              </w:rPr>
              <w:t>Build, deploy into client-controlled infrastructure, test, hand over</w:t>
            </w:r>
          </w:p>
        </w:tc>
      </w:tr>
      <w:tr>
        <w:tc>
          <w:tcPr>
            <w:tcW w:type="dxa" w:w="2592"/>
            <w:tcMar>
              <w:top w:w="80" w:type="dxa"/>
              <w:start w:w="100" w:type="dxa"/>
              <w:bottom w:w="80" w:type="dxa"/>
              <w:end w:w="100" w:type="dxa"/>
            </w:tcMar>
          </w:tcPr>
          <w:p>
            <w:r>
              <w:rPr>
                <w:rFonts w:ascii="Aptos" w:hAnsi="Aptos"/>
                <w:b/>
                <w:color w:val="17365D"/>
                <w:sz w:val="18"/>
              </w:rPr>
              <w:t>Primary use</w:t>
            </w:r>
          </w:p>
        </w:tc>
        <w:tc>
          <w:tcPr>
            <w:tcW w:type="dxa" w:w="7488"/>
            <w:tcMar>
              <w:top w:w="80" w:type="dxa"/>
              <w:start w:w="100" w:type="dxa"/>
              <w:bottom w:w="80" w:type="dxa"/>
              <w:end w:w="100" w:type="dxa"/>
            </w:tcMar>
          </w:tcPr>
          <w:p>
            <w:r>
              <w:rPr>
                <w:rFonts w:ascii="Aptos" w:hAnsi="Aptos"/>
                <w:sz w:val="18"/>
              </w:rPr>
              <w:t>Permission-based marketing campaigns and newsletters</w:t>
            </w:r>
          </w:p>
        </w:tc>
      </w:tr>
      <w:tr>
        <w:tc>
          <w:tcPr>
            <w:tcW w:type="dxa" w:w="2592"/>
            <w:tcMar>
              <w:top w:w="80" w:type="dxa"/>
              <w:start w:w="100" w:type="dxa"/>
              <w:bottom w:w="80" w:type="dxa"/>
              <w:end w:w="100" w:type="dxa"/>
            </w:tcMar>
          </w:tcPr>
          <w:p>
            <w:r>
              <w:t>Initial capacity target</w:t>
            </w:r>
          </w:p>
        </w:tc>
        <w:tc>
          <w:tcPr>
            <w:tcW w:type="dxa" w:w="7488"/>
            <w:tcMar>
              <w:top w:w="80" w:type="dxa"/>
              <w:start w:w="100" w:type="dxa"/>
              <w:bottom w:w="80" w:type="dxa"/>
              <w:end w:w="100" w:type="dxa"/>
            </w:tcMar>
          </w:tcPr>
          <w:p>
            <w:r>
              <w:t>2,000 live emails/day initially; 20,000-recipient synthetic application/queue load target</w:t>
            </w:r>
          </w:p>
        </w:tc>
      </w:tr>
      <w:tr>
        <w:tc>
          <w:tcPr>
            <w:tcW w:type="dxa" w:w="2592"/>
            <w:tcMar>
              <w:top w:w="80" w:type="dxa"/>
              <w:start w:w="100" w:type="dxa"/>
              <w:bottom w:w="80" w:type="dxa"/>
              <w:end w:w="100" w:type="dxa"/>
            </w:tcMar>
          </w:tcPr>
          <w:p>
            <w:r>
              <w:rPr>
                <w:rFonts w:ascii="Aptos" w:hAnsi="Aptos"/>
                <w:b/>
                <w:color w:val="17365D"/>
                <w:sz w:val="18"/>
              </w:rPr>
              <w:t>Deployment</w:t>
            </w:r>
          </w:p>
        </w:tc>
        <w:tc>
          <w:tcPr>
            <w:tcW w:type="dxa" w:w="7488"/>
            <w:tcMar>
              <w:top w:w="80" w:type="dxa"/>
              <w:start w:w="100" w:type="dxa"/>
              <w:bottom w:w="80" w:type="dxa"/>
              <w:end w:w="100" w:type="dxa"/>
            </w:tcMar>
          </w:tcPr>
          <w:p>
            <w:r>
              <w:rPr>
                <w:rFonts w:ascii="Aptos" w:hAnsi="Aptos"/>
                <w:sz w:val="18"/>
              </w:rPr>
              <w:t>Single-client/self-hosted deployment; multi-tenant SaaS is not required for MVP</w:t>
            </w:r>
          </w:p>
        </w:tc>
      </w:tr>
    </w:tbl>
    <w:p>
      <w:pPr>
        <w:pStyle w:val="Heading1"/>
      </w:pPr>
      <w:r>
        <w:t>1. Executive summary</w:t>
      </w:r>
    </w:p>
    <w:p>
      <w:r>
        <w:t>The project will deliver a self-hosted web application plus client-controlled outbound mail-transfer service for legitimate bulk marketing email operations. The platform will centralize contact/list management, campaign composition, scheduling, queue-based delivery, direct-to-MX transport, bounce/complaint processing, suppression controls, reporting and administrative configuration.</w:t>
      </w:r>
    </w:p>
    <w:p>
      <w:r>
        <w:t>The system will be deployed into infrastructure owned or controlled by the client. The client will use its own sending domain, static sending IP and outbound MTA. After acceptance and handover, the client assumes operational control of campaigns, recipient data, DNS, MTA reputation and production infrastructure.</w:t>
      </w:r>
    </w:p>
    <w:p>
      <w:pPr>
        <w:pStyle w:val="Heading1"/>
      </w:pPr>
      <w:r>
        <w:t>2. Problem statement</w:t>
      </w:r>
    </w:p>
    <w:p>
      <w:r>
        <w:t>Marketing teams often depend on third-party campaign platforms that can become expensive, impose feature constraints or separate critical campaign data from the organization’s own infrastructure. This product provides a controlled, self-hosted alternative while retaining essential deliverability and compliance mechanisms.</w:t>
      </w:r>
    </w:p>
    <w:p>
      <w:pPr>
        <w:pStyle w:val="Heading1"/>
      </w:pPr>
      <w:r>
        <w:t>3. Product goals</w:t>
      </w:r>
    </w:p>
    <w:p>
      <w:pPr>
        <w:pStyle w:val="ListBullet"/>
        <w:spacing w:after="40"/>
      </w:pPr>
      <w:r>
        <w:rPr>
          <w:rFonts w:ascii="Aptos" w:hAnsi="Aptos"/>
        </w:rPr>
        <w:t>Enable authorized users to import, organize and segment permission-based contacts.</w:t>
      </w:r>
    </w:p>
    <w:p>
      <w:pPr>
        <w:pStyle w:val="ListBullet"/>
        <w:spacing w:after="40"/>
      </w:pPr>
      <w:r>
        <w:rPr>
          <w:rFonts w:ascii="Aptos" w:hAnsi="Aptos"/>
        </w:rPr>
        <w:t>Create responsive marketing emails using reusable templates and personalization.</w:t>
      </w:r>
    </w:p>
    <w:p>
      <w:pPr>
        <w:pStyle w:val="ListBullet"/>
        <w:spacing w:after="40"/>
      </w:pPr>
      <w:r>
        <w:rPr>
          <w:rFonts w:ascii="Aptos" w:hAnsi="Aptos"/>
        </w:rPr>
        <w:t>Queue and send large campaigns without blocking the web application.</w:t>
      </w:r>
    </w:p>
    <w:p>
      <w:pPr>
        <w:pStyle w:val="ListBullet"/>
        <w:spacing w:after="40"/>
      </w:pPr>
      <w:r>
        <w:rPr>
          <w:rFonts w:ascii="Aptos" w:hAnsi="Aptos"/>
        </w:rPr>
        <w:t>Enforce unsubscribe, suppression, bounce and complaint handling at platform level.</w:t>
      </w:r>
    </w:p>
    <w:p>
      <w:pPr>
        <w:pStyle w:val="ListBullet"/>
        <w:spacing w:after="40"/>
      </w:pPr>
      <w:r>
        <w:rPr>
          <w:rFonts w:ascii="Aptos" w:hAnsi="Aptos"/>
        </w:rPr>
        <w:t>Provide auditable campaign and delivery history.</w:t>
      </w:r>
    </w:p>
    <w:p>
      <w:pPr>
        <w:pStyle w:val="ListBullet"/>
        <w:spacing w:after="40"/>
      </w:pPr>
      <w:r>
        <w:t>Allow client-controlled configuration of sending domains, MTA identity, transport limits and optional fallback relay credentials.</w:t>
      </w:r>
    </w:p>
    <w:p>
      <w:pPr>
        <w:pStyle w:val="ListBullet"/>
        <w:spacing w:after="40"/>
      </w:pPr>
      <w:r>
        <w:rPr>
          <w:rFonts w:ascii="Aptos" w:hAnsi="Aptos"/>
        </w:rPr>
        <w:t>Support a clean deployment and handover to the client without requiring supplier-hosted infrastructure.</w:t>
      </w:r>
    </w:p>
    <w:p>
      <w:pPr>
        <w:pStyle w:val="Heading1"/>
      </w:pPr>
      <w:r>
        <w:t>4. Primary users</w:t>
      </w:r>
    </w:p>
    <w:tbl>
      <w:tblPr>
        <w:tblStyle w:val="TableGrid"/>
        <w:tblW w:type="auto" w:w="0"/>
        <w:jc w:val="center"/>
        <w:tblLook w:firstColumn="1" w:firstRow="1" w:lastColumn="0" w:lastRow="0" w:noHBand="0" w:noVBand="1" w:val="04A0"/>
      </w:tblPr>
      <w:tblGrid>
        <w:gridCol w:w="1872"/>
        <w:gridCol w:w="3888"/>
        <w:gridCol w:w="4320"/>
      </w:tblGrid>
      <w:tr>
        <w:trPr>
          <w:tblHeader w:val="true"/>
        </w:trPr>
        <w:tc>
          <w:tcPr>
            <w:tcW w:type="dxa" w:w="3360"/>
            <w:shd w:fill="17365D"/>
            <w:tcMar>
              <w:top w:w="80" w:type="dxa"/>
              <w:start w:w="100" w:type="dxa"/>
              <w:bottom w:w="80" w:type="dxa"/>
              <w:end w:w="100" w:type="dxa"/>
            </w:tcMar>
          </w:tcPr>
          <w:p>
            <w:r>
              <w:rPr>
                <w:rFonts w:ascii="Aptos" w:hAnsi="Aptos"/>
                <w:b/>
                <w:color w:val="FFFFFF"/>
                <w:sz w:val="17"/>
              </w:rPr>
              <w:t>Role</w:t>
            </w:r>
          </w:p>
        </w:tc>
        <w:tc>
          <w:tcPr>
            <w:tcW w:type="dxa" w:w="3360"/>
            <w:shd w:fill="17365D"/>
            <w:tcMar>
              <w:top w:w="80" w:type="dxa"/>
              <w:start w:w="100" w:type="dxa"/>
              <w:bottom w:w="80" w:type="dxa"/>
              <w:end w:w="100" w:type="dxa"/>
            </w:tcMar>
          </w:tcPr>
          <w:p>
            <w:r>
              <w:rPr>
                <w:rFonts w:ascii="Aptos" w:hAnsi="Aptos"/>
                <w:b/>
                <w:color w:val="FFFFFF"/>
                <w:sz w:val="17"/>
              </w:rPr>
              <w:t>Primary needs</w:t>
            </w:r>
          </w:p>
        </w:tc>
        <w:tc>
          <w:tcPr>
            <w:tcW w:type="dxa" w:w="3360"/>
            <w:shd w:fill="17365D"/>
            <w:tcMar>
              <w:top w:w="80" w:type="dxa"/>
              <w:start w:w="100" w:type="dxa"/>
              <w:bottom w:w="80" w:type="dxa"/>
              <w:end w:w="100" w:type="dxa"/>
            </w:tcMar>
          </w:tcPr>
          <w:p>
            <w:r>
              <w:rPr>
                <w:rFonts w:ascii="Aptos" w:hAnsi="Aptos"/>
                <w:b/>
                <w:color w:val="FFFFFF"/>
                <w:sz w:val="17"/>
              </w:rPr>
              <w:t>Key permissions</w:t>
            </w:r>
          </w:p>
        </w:tc>
      </w:tr>
      <w:tr>
        <w:tc>
          <w:tcPr>
            <w:tcW w:type="dxa" w:w="1872"/>
            <w:tcMar>
              <w:top w:w="80" w:type="dxa"/>
              <w:start w:w="100" w:type="dxa"/>
              <w:bottom w:w="80" w:type="dxa"/>
              <w:end w:w="100" w:type="dxa"/>
            </w:tcMar>
            <w:vAlign w:val="top"/>
          </w:tcPr>
          <w:p>
            <w:r>
              <w:t>Administrator</w:t>
            </w:r>
          </w:p>
        </w:tc>
        <w:tc>
          <w:tcPr>
            <w:tcW w:type="dxa" w:w="3888"/>
            <w:tcMar>
              <w:top w:w="80" w:type="dxa"/>
              <w:start w:w="100" w:type="dxa"/>
              <w:bottom w:w="80" w:type="dxa"/>
              <w:end w:w="100" w:type="dxa"/>
            </w:tcMar>
            <w:vAlign w:val="top"/>
          </w:tcPr>
          <w:p>
            <w:r>
              <w:t>Configure system and sending</w:t>
            </w:r>
          </w:p>
        </w:tc>
        <w:tc>
          <w:tcPr>
            <w:tcW w:type="dxa" w:w="4320"/>
            <w:tcMar>
              <w:top w:w="80" w:type="dxa"/>
              <w:start w:w="100" w:type="dxa"/>
              <w:bottom w:w="80" w:type="dxa"/>
              <w:end w:w="100" w:type="dxa"/>
            </w:tcMar>
            <w:vAlign w:val="top"/>
          </w:tcPr>
          <w:p>
            <w:r>
              <w:t>Users, domains, MTA/transport, limits, suppression, audit logs</w:t>
            </w:r>
          </w:p>
        </w:tc>
      </w:tr>
      <w:tr>
        <w:tc>
          <w:tcPr>
            <w:tcW w:type="dxa" w:w="1872"/>
            <w:tcMar>
              <w:top w:w="80" w:type="dxa"/>
              <w:start w:w="100" w:type="dxa"/>
              <w:bottom w:w="80" w:type="dxa"/>
              <w:end w:w="100" w:type="dxa"/>
            </w:tcMar>
            <w:vAlign w:val="top"/>
            <w:shd w:fill="F7F9FC"/>
          </w:tcPr>
          <w:p>
            <w:r>
              <w:rPr>
                <w:rFonts w:ascii="Aptos" w:hAnsi="Aptos"/>
                <w:sz w:val="17"/>
              </w:rPr>
              <w:t>Marketing User</w:t>
            </w:r>
          </w:p>
        </w:tc>
        <w:tc>
          <w:tcPr>
            <w:tcW w:type="dxa" w:w="3888"/>
            <w:tcMar>
              <w:top w:w="80" w:type="dxa"/>
              <w:start w:w="100" w:type="dxa"/>
              <w:bottom w:w="80" w:type="dxa"/>
              <w:end w:w="100" w:type="dxa"/>
            </w:tcMar>
            <w:vAlign w:val="top"/>
            <w:shd w:fill="F7F9FC"/>
          </w:tcPr>
          <w:p>
            <w:r>
              <w:rPr>
                <w:rFonts w:ascii="Aptos" w:hAnsi="Aptos"/>
                <w:sz w:val="17"/>
              </w:rPr>
              <w:t>Create and operate campaigns</w:t>
            </w:r>
          </w:p>
        </w:tc>
        <w:tc>
          <w:tcPr>
            <w:tcW w:type="dxa" w:w="4320"/>
            <w:tcMar>
              <w:top w:w="80" w:type="dxa"/>
              <w:start w:w="100" w:type="dxa"/>
              <w:bottom w:w="80" w:type="dxa"/>
              <w:end w:w="100" w:type="dxa"/>
            </w:tcMar>
            <w:vAlign w:val="top"/>
            <w:shd w:fill="F7F9FC"/>
          </w:tcPr>
          <w:p>
            <w:r>
              <w:rPr>
                <w:rFonts w:ascii="Aptos" w:hAnsi="Aptos"/>
                <w:sz w:val="17"/>
              </w:rPr>
              <w:t>Contacts, lists, templates, campaigns, reports</w:t>
            </w:r>
          </w:p>
        </w:tc>
      </w:tr>
      <w:tr>
        <w:tc>
          <w:tcPr>
            <w:tcW w:type="dxa" w:w="1872"/>
            <w:tcMar>
              <w:top w:w="80" w:type="dxa"/>
              <w:start w:w="100" w:type="dxa"/>
              <w:bottom w:w="80" w:type="dxa"/>
              <w:end w:w="100" w:type="dxa"/>
            </w:tcMar>
            <w:vAlign w:val="top"/>
          </w:tcPr>
          <w:p>
            <w:r>
              <w:rPr>
                <w:rFonts w:ascii="Aptos" w:hAnsi="Aptos"/>
                <w:sz w:val="17"/>
              </w:rPr>
              <w:t>Read-only/Analyst</w:t>
            </w:r>
          </w:p>
        </w:tc>
        <w:tc>
          <w:tcPr>
            <w:tcW w:type="dxa" w:w="3888"/>
            <w:tcMar>
              <w:top w:w="80" w:type="dxa"/>
              <w:start w:w="100" w:type="dxa"/>
              <w:bottom w:w="80" w:type="dxa"/>
              <w:end w:w="100" w:type="dxa"/>
            </w:tcMar>
            <w:vAlign w:val="top"/>
          </w:tcPr>
          <w:p>
            <w:r>
              <w:rPr>
                <w:rFonts w:ascii="Aptos" w:hAnsi="Aptos"/>
                <w:sz w:val="17"/>
              </w:rPr>
              <w:t>Review performance</w:t>
            </w:r>
          </w:p>
        </w:tc>
        <w:tc>
          <w:tcPr>
            <w:tcW w:type="dxa" w:w="4320"/>
            <w:tcMar>
              <w:top w:w="80" w:type="dxa"/>
              <w:start w:w="100" w:type="dxa"/>
              <w:bottom w:w="80" w:type="dxa"/>
              <w:end w:w="100" w:type="dxa"/>
            </w:tcMar>
            <w:vAlign w:val="top"/>
          </w:tcPr>
          <w:p>
            <w:r>
              <w:rPr>
                <w:rFonts w:ascii="Aptos" w:hAnsi="Aptos"/>
                <w:sz w:val="17"/>
              </w:rPr>
              <w:t>Reports and campaign history without send/edit rights</w:t>
            </w:r>
          </w:p>
        </w:tc>
      </w:tr>
    </w:tbl>
    <w:p>
      <w:pPr>
        <w:pStyle w:val="Heading1"/>
      </w:pPr>
      <w:r>
        <w:t>5. Core product modules</w:t>
      </w:r>
    </w:p>
    <w:tbl>
      <w:tblPr>
        <w:tblStyle w:val="TableGrid"/>
        <w:tblW w:type="auto" w:w="0"/>
        <w:jc w:val="center"/>
        <w:tblLook w:firstColumn="1" w:firstRow="1" w:lastColumn="0" w:lastRow="0" w:noHBand="0" w:noVBand="1" w:val="04A0"/>
      </w:tblPr>
      <w:tblGrid>
        <w:gridCol w:w="2592"/>
        <w:gridCol w:w="7488"/>
      </w:tblGrid>
      <w:tr>
        <w:trPr>
          <w:tblHeader w:val="true"/>
        </w:trPr>
        <w:tc>
          <w:tcPr>
            <w:tcW w:type="dxa" w:w="5040"/>
            <w:shd w:fill="17365D"/>
            <w:tcMar>
              <w:top w:w="80" w:type="dxa"/>
              <w:start w:w="100" w:type="dxa"/>
              <w:bottom w:w="80" w:type="dxa"/>
              <w:end w:w="100" w:type="dxa"/>
            </w:tcMar>
          </w:tcPr>
          <w:p>
            <w:r>
              <w:rPr>
                <w:rFonts w:ascii="Aptos" w:hAnsi="Aptos"/>
                <w:b/>
                <w:color w:val="FFFFFF"/>
                <w:sz w:val="18"/>
              </w:rPr>
              <w:t>Module</w:t>
            </w:r>
          </w:p>
        </w:tc>
        <w:tc>
          <w:tcPr>
            <w:tcW w:type="dxa" w:w="5040"/>
            <w:shd w:fill="17365D"/>
            <w:tcMar>
              <w:top w:w="80" w:type="dxa"/>
              <w:start w:w="100" w:type="dxa"/>
              <w:bottom w:w="80" w:type="dxa"/>
              <w:end w:w="100" w:type="dxa"/>
            </w:tcMar>
          </w:tcPr>
          <w:p>
            <w:r>
              <w:rPr>
                <w:rFonts w:ascii="Aptos" w:hAnsi="Aptos"/>
                <w:b/>
                <w:color w:val="FFFFFF"/>
                <w:sz w:val="18"/>
              </w:rPr>
              <w:t>Purpose</w:t>
            </w:r>
          </w:p>
        </w:tc>
      </w:tr>
      <w:tr>
        <w:tc>
          <w:tcPr>
            <w:tcW w:type="dxa" w:w="2592"/>
            <w:tcMar>
              <w:top w:w="80" w:type="dxa"/>
              <w:start w:w="100" w:type="dxa"/>
              <w:bottom w:w="80" w:type="dxa"/>
              <w:end w:w="100" w:type="dxa"/>
            </w:tcMar>
            <w:vAlign w:val="top"/>
          </w:tcPr>
          <w:p>
            <w:r>
              <w:rPr>
                <w:rFonts w:ascii="Aptos" w:hAnsi="Aptos"/>
                <w:sz w:val="18"/>
              </w:rPr>
              <w:t>Audience</w:t>
            </w:r>
          </w:p>
        </w:tc>
        <w:tc>
          <w:tcPr>
            <w:tcW w:type="dxa" w:w="7488"/>
            <w:tcMar>
              <w:top w:w="80" w:type="dxa"/>
              <w:start w:w="100" w:type="dxa"/>
              <w:bottom w:w="80" w:type="dxa"/>
              <w:end w:w="100" w:type="dxa"/>
            </w:tcMar>
            <w:vAlign w:val="top"/>
          </w:tcPr>
          <w:p>
            <w:r>
              <w:rPr>
                <w:rFonts w:ascii="Aptos" w:hAnsi="Aptos"/>
                <w:sz w:val="18"/>
              </w:rPr>
              <w:t>Contacts, lists, tags, imports and segmentation.</w:t>
            </w:r>
          </w:p>
        </w:tc>
      </w:tr>
      <w:tr>
        <w:tc>
          <w:tcPr>
            <w:tcW w:type="dxa" w:w="2592"/>
            <w:tcMar>
              <w:top w:w="80" w:type="dxa"/>
              <w:start w:w="100" w:type="dxa"/>
              <w:bottom w:w="80" w:type="dxa"/>
              <w:end w:w="100" w:type="dxa"/>
            </w:tcMar>
            <w:vAlign w:val="top"/>
            <w:shd w:fill="F7F9FC"/>
          </w:tcPr>
          <w:p>
            <w:r>
              <w:rPr>
                <w:rFonts w:ascii="Aptos" w:hAnsi="Aptos"/>
                <w:sz w:val="18"/>
              </w:rPr>
              <w:t>Campaigns</w:t>
            </w:r>
          </w:p>
        </w:tc>
        <w:tc>
          <w:tcPr>
            <w:tcW w:type="dxa" w:w="7488"/>
            <w:tcMar>
              <w:top w:w="80" w:type="dxa"/>
              <w:start w:w="100" w:type="dxa"/>
              <w:bottom w:w="80" w:type="dxa"/>
              <w:end w:w="100" w:type="dxa"/>
            </w:tcMar>
            <w:vAlign w:val="top"/>
            <w:shd w:fill="F7F9FC"/>
          </w:tcPr>
          <w:p>
            <w:r>
              <w:rPr>
                <w:rFonts w:ascii="Aptos" w:hAnsi="Aptos"/>
                <w:sz w:val="18"/>
              </w:rPr>
              <w:t>Campaign creation, templates, content, personalization and scheduling.</w:t>
            </w:r>
          </w:p>
        </w:tc>
      </w:tr>
      <w:tr>
        <w:tc>
          <w:tcPr>
            <w:tcW w:type="dxa" w:w="2592"/>
            <w:tcMar>
              <w:top w:w="80" w:type="dxa"/>
              <w:start w:w="100" w:type="dxa"/>
              <w:bottom w:w="80" w:type="dxa"/>
              <w:end w:w="100" w:type="dxa"/>
            </w:tcMar>
            <w:vAlign w:val="top"/>
          </w:tcPr>
          <w:p>
            <w:r>
              <w:t>Delivery</w:t>
            </w:r>
          </w:p>
        </w:tc>
        <w:tc>
          <w:tcPr>
            <w:tcW w:type="dxa" w:w="7488"/>
            <w:tcMar>
              <w:top w:w="80" w:type="dxa"/>
              <w:start w:w="100" w:type="dxa"/>
              <w:bottom w:w="80" w:type="dxa"/>
              <w:end w:w="100" w:type="dxa"/>
            </w:tcMar>
            <w:vAlign w:val="top"/>
          </w:tcPr>
          <w:p>
            <w:r>
              <w:t>Queue, workers, local SMTP submission, MTA throttling and retries.</w:t>
            </w:r>
          </w:p>
        </w:tc>
      </w:tr>
      <w:tr>
        <w:tc>
          <w:tcPr>
            <w:tcW w:type="dxa" w:w="2592"/>
            <w:tcMar>
              <w:top w:w="80" w:type="dxa"/>
              <w:start w:w="100" w:type="dxa"/>
              <w:bottom w:w="80" w:type="dxa"/>
              <w:end w:w="100" w:type="dxa"/>
            </w:tcMar>
            <w:vAlign w:val="top"/>
            <w:shd w:fill="F7F9FC"/>
          </w:tcPr>
          <w:p>
            <w:r>
              <w:rPr>
                <w:rFonts w:ascii="Aptos" w:hAnsi="Aptos"/>
                <w:sz w:val="18"/>
              </w:rPr>
              <w:t>Deliverability</w:t>
            </w:r>
          </w:p>
        </w:tc>
        <w:tc>
          <w:tcPr>
            <w:tcW w:type="dxa" w:w="7488"/>
            <w:tcMar>
              <w:top w:w="80" w:type="dxa"/>
              <w:start w:w="100" w:type="dxa"/>
              <w:bottom w:w="80" w:type="dxa"/>
              <w:end w:w="100" w:type="dxa"/>
            </w:tcMar>
            <w:vAlign w:val="top"/>
            <w:shd w:fill="F7F9FC"/>
          </w:tcPr>
          <w:p>
            <w:r>
              <w:rPr>
                <w:rFonts w:ascii="Aptos" w:hAnsi="Aptos"/>
                <w:sz w:val="18"/>
              </w:rPr>
              <w:t>Domain verification, bounces, complaints, unsubscribe and suppression.</w:t>
            </w:r>
          </w:p>
        </w:tc>
      </w:tr>
      <w:tr>
        <w:tc>
          <w:tcPr>
            <w:tcW w:type="dxa" w:w="2592"/>
            <w:tcMar>
              <w:top w:w="80" w:type="dxa"/>
              <w:start w:w="100" w:type="dxa"/>
              <w:bottom w:w="80" w:type="dxa"/>
              <w:end w:w="100" w:type="dxa"/>
            </w:tcMar>
            <w:vAlign w:val="top"/>
          </w:tcPr>
          <w:p>
            <w:r>
              <w:rPr>
                <w:rFonts w:ascii="Aptos" w:hAnsi="Aptos"/>
                <w:sz w:val="18"/>
              </w:rPr>
              <w:t>Reporting</w:t>
            </w:r>
          </w:p>
        </w:tc>
        <w:tc>
          <w:tcPr>
            <w:tcW w:type="dxa" w:w="7488"/>
            <w:tcMar>
              <w:top w:w="80" w:type="dxa"/>
              <w:start w:w="100" w:type="dxa"/>
              <w:bottom w:w="80" w:type="dxa"/>
              <w:end w:w="100" w:type="dxa"/>
            </w:tcMar>
            <w:vAlign w:val="top"/>
          </w:tcPr>
          <w:p>
            <w:r>
              <w:rPr>
                <w:rFonts w:ascii="Aptos" w:hAnsi="Aptos"/>
                <w:sz w:val="18"/>
              </w:rPr>
              <w:t>Campaign metrics, delivery events, exports and audit history.</w:t>
            </w:r>
          </w:p>
        </w:tc>
      </w:tr>
      <w:tr>
        <w:tc>
          <w:tcPr>
            <w:tcW w:type="dxa" w:w="2592"/>
            <w:tcMar>
              <w:top w:w="80" w:type="dxa"/>
              <w:start w:w="100" w:type="dxa"/>
              <w:bottom w:w="80" w:type="dxa"/>
              <w:end w:w="100" w:type="dxa"/>
            </w:tcMar>
            <w:vAlign w:val="top"/>
            <w:shd w:fill="F7F9FC"/>
          </w:tcPr>
          <w:p>
            <w:r>
              <w:t>Administration</w:t>
            </w:r>
          </w:p>
        </w:tc>
        <w:tc>
          <w:tcPr>
            <w:tcW w:type="dxa" w:w="7488"/>
            <w:tcMar>
              <w:top w:w="80" w:type="dxa"/>
              <w:start w:w="100" w:type="dxa"/>
              <w:bottom w:w="80" w:type="dxa"/>
              <w:end w:w="100" w:type="dxa"/>
            </w:tcMar>
            <w:vAlign w:val="top"/>
            <w:shd w:fill="F7F9FC"/>
          </w:tcPr>
          <w:p>
            <w:r>
              <w:t>Users, permissions, MTA identity/limits, verified domains, optional relay and system settings.</w:t>
            </w:r>
          </w:p>
        </w:tc>
      </w:tr>
    </w:tbl>
    <w:p>
      <w:pPr>
        <w:pStyle w:val="Heading1"/>
      </w:pPr>
      <w:r>
        <w:t>6. Product boundaries</w:t>
      </w:r>
    </w:p>
    <w:p>
      <w:r>
        <w:t>The MVP is a campaign-management and outbound-delivery application, not a general-purpose mailbox or inbox product. It includes a single-client direct-to-MX MTA deployment but not a geographically distributed proprietary SMTP network, inbound human mailbox hosting, CRM functionality, SMS/WhatsApp messaging, or complex journey automation.</w:t>
      </w:r>
    </w:p>
    <w:p>
      <w:pPr>
        <w:pStyle w:val="Heading1"/>
      </w:pPr>
      <w:r>
        <w:t>7. Success measures</w:t>
      </w:r>
    </w:p>
    <w:p>
      <w:pPr>
        <w:pStyle w:val="ListBullet"/>
        <w:spacing w:after="40"/>
      </w:pPr>
      <w:r>
        <w:rPr>
          <w:rFonts w:ascii="Aptos" w:hAnsi="Aptos"/>
        </w:rPr>
        <w:t>Controlled 20,000-recipient campaign load test completes without application instability.</w:t>
      </w:r>
    </w:p>
    <w:p>
      <w:pPr>
        <w:pStyle w:val="ListBullet"/>
        <w:spacing w:after="40"/>
      </w:pPr>
      <w:r>
        <w:rPr>
          <w:rFonts w:ascii="Aptos" w:hAnsi="Aptos"/>
        </w:rPr>
        <w:t>No suppressed, unsubscribed, complained or hard-bounced address is sent a marketing campaign.</w:t>
      </w:r>
    </w:p>
    <w:p>
      <w:pPr>
        <w:pStyle w:val="ListBullet"/>
        <w:spacing w:after="40"/>
      </w:pPr>
      <w:r>
        <w:rPr>
          <w:rFonts w:ascii="Aptos" w:hAnsi="Aptos"/>
        </w:rPr>
        <w:t>Campaign send operations are queue-based and respect configured rate/quota limits.</w:t>
      </w:r>
    </w:p>
    <w:p>
      <w:pPr>
        <w:pStyle w:val="ListBullet"/>
        <w:spacing w:after="40"/>
      </w:pPr>
      <w:r>
        <w:t>MTA delivery status notifications, bounce processing and available complaint feedback update recipient and campaign state.</w:t>
      </w:r>
    </w:p>
    <w:p>
      <w:pPr>
        <w:pStyle w:val="ListBullet"/>
        <w:spacing w:after="40"/>
      </w:pPr>
      <w:r>
        <w:rPr>
          <w:rFonts w:ascii="Aptos" w:hAnsi="Aptos"/>
        </w:rPr>
        <w:t>Client can operate the production deployment after handover using supplied documentation.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tcPr>
        <w:p>
          <w:pPr>
            <w:jc w:val="left"/>
          </w:pPr>
          <w:r>
            <w:rPr>
              <w:rFonts w:ascii="Aptos" w:hAnsi="Aptos"/>
              <w:color w:val="666666"/>
              <w:sz w:val="16"/>
            </w:rPr>
            <w:t>Project Documentation</w:t>
          </w:r>
        </w:p>
      </w:tc>
      <w:tc>
        <w:tcPr>
          <w:tcW w:type="dxa" w:w="3360"/>
        </w:tcPr>
        <w:p>
          <w:pPr>
            <w:jc w:val="center"/>
          </w:pPr>
          <w:r>
            <w:rPr>
              <w:rFonts w:ascii="Aptos" w:hAnsi="Aptos"/>
              <w:color w:val="666666"/>
              <w:sz w:val="16"/>
            </w:rPr>
            <w:t>v0.3</w:t>
          </w:r>
        </w:p>
      </w:tc>
      <w:tc>
        <w:tcPr>
          <w:tcW w:type="dxa" w:w="3360"/>
        </w:tcPr>
        <w:p>
          <w:pPr>
            <w:jc w:val="right"/>
          </w:pPr>
          <w:r>
            <w:rPr>
              <w:rFonts w:ascii="Aptos" w:hAnsi="Aptos"/>
              <w:color w:val="666666"/>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056"/>
      <w:gridCol w:w="3024"/>
    </w:tblGrid>
    <w:tr>
      <w:tc>
        <w:tcPr>
          <w:tcW w:type="dxa" w:w="5040"/>
        </w:tcPr>
        <w:p>
          <w:pPr>
            <w:jc w:val="left"/>
          </w:pPr>
          <w:r>
            <w:rPr>
              <w:rFonts w:ascii="Aptos" w:hAnsi="Aptos"/>
              <w:b/>
              <w:color w:val="17365D"/>
              <w:sz w:val="17"/>
            </w:rPr>
            <w:t>Email Marketing Platform</w:t>
          </w:r>
        </w:p>
      </w:tc>
      <w:tc>
        <w:tcPr>
          <w:tcW w:type="dxa" w:w="5040"/>
        </w:tcPr>
        <w:p>
          <w:pPr>
            <w:jc w:val="right"/>
          </w:pPr>
          <w:r>
            <w:rPr>
              <w:rFonts w:ascii="Aptos" w:hAnsi="Aptos"/>
              <w:color w:val="666666"/>
              <w:sz w:val="16"/>
            </w:rPr>
            <w:t>DOC-01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